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271ED" w14:textId="77777777" w:rsidR="00D271A8" w:rsidRPr="00250BA7" w:rsidRDefault="00D271A8" w:rsidP="00C05C14">
      <w:pPr>
        <w:spacing w:before="120" w:after="120"/>
        <w:jc w:val="right"/>
        <w:rPr>
          <w:rFonts w:cstheme="minorHAnsi"/>
          <w:b/>
        </w:rPr>
      </w:pPr>
      <w:r w:rsidRPr="00250BA7">
        <w:rPr>
          <w:rFonts w:cstheme="minorHAnsi"/>
          <w:b/>
        </w:rPr>
        <w:t>Załącznik nr 1</w:t>
      </w:r>
    </w:p>
    <w:p w14:paraId="51798D67" w14:textId="77777777" w:rsidR="00870D6D" w:rsidRPr="00250BA7" w:rsidRDefault="00870D6D" w:rsidP="00C05C14">
      <w:pPr>
        <w:spacing w:before="120" w:after="120"/>
        <w:jc w:val="right"/>
        <w:rPr>
          <w:rFonts w:cstheme="minorHAnsi"/>
          <w:b/>
        </w:rPr>
      </w:pPr>
    </w:p>
    <w:p w14:paraId="3F328F72" w14:textId="77777777" w:rsidR="00870D6D" w:rsidRPr="00250BA7" w:rsidRDefault="00870D6D" w:rsidP="00C05C14">
      <w:pPr>
        <w:spacing w:before="120" w:after="120"/>
        <w:jc w:val="center"/>
        <w:rPr>
          <w:rFonts w:cstheme="minorHAnsi"/>
          <w:b/>
          <w:u w:val="single"/>
        </w:rPr>
      </w:pPr>
      <w:r w:rsidRPr="00250BA7">
        <w:rPr>
          <w:rFonts w:cstheme="minorHAnsi"/>
          <w:b/>
          <w:u w:val="single"/>
        </w:rPr>
        <w:t>Wstępny zakres zamówienia</w:t>
      </w:r>
    </w:p>
    <w:p w14:paraId="084E5974" w14:textId="2CA6A08D" w:rsidR="00D271A8" w:rsidRPr="0075519A" w:rsidRDefault="0075519A" w:rsidP="00C05C14">
      <w:pPr>
        <w:shd w:val="clear" w:color="auto" w:fill="FFFFFF"/>
        <w:ind w:left="11" w:right="6"/>
        <w:jc w:val="center"/>
        <w:rPr>
          <w:rFonts w:cstheme="minorHAnsi"/>
          <w:b/>
          <w:smallCaps/>
        </w:rPr>
      </w:pPr>
      <w:r w:rsidRPr="00E4235B">
        <w:rPr>
          <w:rFonts w:cstheme="minorHAnsi"/>
          <w:b/>
          <w:smallCaps/>
        </w:rPr>
        <w:t>„</w:t>
      </w:r>
      <w:r w:rsidR="00F11038" w:rsidRPr="00B108DC">
        <w:rPr>
          <w:b/>
          <w:bCs/>
        </w:rPr>
        <w:t xml:space="preserve">OPRACOWANIE </w:t>
      </w:r>
      <w:r w:rsidR="00F11038">
        <w:rPr>
          <w:b/>
          <w:bCs/>
        </w:rPr>
        <w:t>II AKTUALIZACJI ZESTAWU CELÓW ŚRODOWISKOWYCH DLA WÓD MORSKICH</w:t>
      </w:r>
      <w:r w:rsidRPr="00E4235B">
        <w:rPr>
          <w:rFonts w:cstheme="minorHAnsi"/>
          <w:b/>
          <w:smallCaps/>
        </w:rPr>
        <w:t xml:space="preserve">” </w:t>
      </w:r>
    </w:p>
    <w:p w14:paraId="40CA7A94" w14:textId="3ACC7517" w:rsidR="00D271A8" w:rsidRPr="00F11038" w:rsidRDefault="00D271A8" w:rsidP="00F11038">
      <w:pPr>
        <w:pStyle w:val="Akapitzlist"/>
        <w:numPr>
          <w:ilvl w:val="0"/>
          <w:numId w:val="25"/>
        </w:numPr>
        <w:spacing w:after="120"/>
        <w:jc w:val="both"/>
        <w:rPr>
          <w:rFonts w:cstheme="minorHAnsi"/>
        </w:rPr>
      </w:pPr>
      <w:r w:rsidRPr="00F11038">
        <w:rPr>
          <w:rFonts w:cstheme="minorHAnsi"/>
          <w:b/>
        </w:rPr>
        <w:t>Planowany termin realizacji:</w:t>
      </w:r>
    </w:p>
    <w:p w14:paraId="32CD4586" w14:textId="47468DFE" w:rsidR="00D271A8" w:rsidRPr="00250BA7" w:rsidRDefault="00D271A8" w:rsidP="00664D68">
      <w:pPr>
        <w:spacing w:before="120" w:after="0" w:line="240" w:lineRule="auto"/>
        <w:jc w:val="both"/>
        <w:rPr>
          <w:rFonts w:cstheme="minorHAnsi"/>
        </w:rPr>
      </w:pPr>
      <w:r w:rsidRPr="00250BA7">
        <w:rPr>
          <w:rFonts w:cstheme="minorHAnsi"/>
        </w:rPr>
        <w:t xml:space="preserve">Etap I: </w:t>
      </w:r>
      <w:r w:rsidR="00C97851" w:rsidRPr="00250BA7">
        <w:rPr>
          <w:rFonts w:cstheme="minorHAnsi"/>
        </w:rPr>
        <w:t xml:space="preserve">niezwłocznie po podpisaniu umowy </w:t>
      </w:r>
      <w:r w:rsidRPr="00250BA7">
        <w:rPr>
          <w:rFonts w:cstheme="minorHAnsi"/>
        </w:rPr>
        <w:t>–</w:t>
      </w:r>
      <w:r w:rsidR="00415F03" w:rsidRPr="00250BA7">
        <w:rPr>
          <w:rFonts w:cstheme="minorHAnsi"/>
        </w:rPr>
        <w:t xml:space="preserve"> </w:t>
      </w:r>
      <w:r w:rsidR="00F11038">
        <w:rPr>
          <w:rFonts w:cstheme="minorHAnsi"/>
        </w:rPr>
        <w:t>31</w:t>
      </w:r>
      <w:r w:rsidRPr="00250BA7">
        <w:rPr>
          <w:rFonts w:cstheme="minorHAnsi"/>
        </w:rPr>
        <w:t xml:space="preserve"> </w:t>
      </w:r>
      <w:r w:rsidR="00F11038">
        <w:rPr>
          <w:rFonts w:cstheme="minorHAnsi"/>
        </w:rPr>
        <w:t>lipca</w:t>
      </w:r>
      <w:r w:rsidR="00172E0F" w:rsidRPr="00250BA7">
        <w:rPr>
          <w:rFonts w:cstheme="minorHAnsi"/>
        </w:rPr>
        <w:t xml:space="preserve"> </w:t>
      </w:r>
      <w:r w:rsidR="00843A74" w:rsidRPr="00250BA7">
        <w:rPr>
          <w:rFonts w:cstheme="minorHAnsi"/>
        </w:rPr>
        <w:t>20</w:t>
      </w:r>
      <w:r w:rsidR="0023570E">
        <w:rPr>
          <w:rFonts w:cstheme="minorHAnsi"/>
        </w:rPr>
        <w:t>2</w:t>
      </w:r>
      <w:r w:rsidR="00F11038">
        <w:rPr>
          <w:rFonts w:cstheme="minorHAnsi"/>
        </w:rPr>
        <w:t>3</w:t>
      </w:r>
      <w:r w:rsidR="00F27620" w:rsidRPr="00250BA7">
        <w:rPr>
          <w:rFonts w:cstheme="minorHAnsi"/>
        </w:rPr>
        <w:t xml:space="preserve"> r.</w:t>
      </w:r>
    </w:p>
    <w:p w14:paraId="600EF7AD" w14:textId="6FE1F39F" w:rsidR="00AB3D34" w:rsidRDefault="00D271A8" w:rsidP="00664D68">
      <w:pPr>
        <w:spacing w:before="120" w:after="120" w:line="240" w:lineRule="auto"/>
        <w:jc w:val="both"/>
        <w:rPr>
          <w:rFonts w:cstheme="minorHAnsi"/>
        </w:rPr>
      </w:pPr>
      <w:r w:rsidRPr="00250BA7">
        <w:rPr>
          <w:rFonts w:cstheme="minorHAnsi"/>
        </w:rPr>
        <w:t xml:space="preserve">Etap II: </w:t>
      </w:r>
      <w:r w:rsidR="00F11038">
        <w:rPr>
          <w:rFonts w:cstheme="minorHAnsi"/>
        </w:rPr>
        <w:t xml:space="preserve">1 </w:t>
      </w:r>
      <w:r w:rsidR="00ED147C">
        <w:rPr>
          <w:rFonts w:cstheme="minorHAnsi"/>
        </w:rPr>
        <w:t xml:space="preserve">sierpnia </w:t>
      </w:r>
      <w:r w:rsidR="00F11038">
        <w:rPr>
          <w:rFonts w:cstheme="minorHAnsi"/>
        </w:rPr>
        <w:t>2023</w:t>
      </w:r>
      <w:r w:rsidRPr="00250BA7">
        <w:rPr>
          <w:rFonts w:cstheme="minorHAnsi"/>
        </w:rPr>
        <w:t xml:space="preserve"> –</w:t>
      </w:r>
      <w:r w:rsidR="00415F03" w:rsidRPr="00250BA7">
        <w:rPr>
          <w:rFonts w:cstheme="minorHAnsi"/>
        </w:rPr>
        <w:t xml:space="preserve"> </w:t>
      </w:r>
      <w:r w:rsidR="00F11038">
        <w:rPr>
          <w:rFonts w:cstheme="minorHAnsi"/>
        </w:rPr>
        <w:t>15</w:t>
      </w:r>
      <w:r w:rsidR="00D4230B" w:rsidRPr="00250BA7">
        <w:rPr>
          <w:rFonts w:cstheme="minorHAnsi"/>
        </w:rPr>
        <w:t xml:space="preserve"> </w:t>
      </w:r>
      <w:r w:rsidR="00F11038">
        <w:rPr>
          <w:rFonts w:cstheme="minorHAnsi"/>
        </w:rPr>
        <w:t xml:space="preserve">lipca </w:t>
      </w:r>
      <w:r w:rsidRPr="00250BA7">
        <w:rPr>
          <w:rFonts w:cstheme="minorHAnsi"/>
        </w:rPr>
        <w:t>20</w:t>
      </w:r>
      <w:r w:rsidR="00C97851" w:rsidRPr="00250BA7">
        <w:rPr>
          <w:rFonts w:cstheme="minorHAnsi"/>
        </w:rPr>
        <w:t>2</w:t>
      </w:r>
      <w:r w:rsidR="00F11038">
        <w:rPr>
          <w:rFonts w:cstheme="minorHAnsi"/>
        </w:rPr>
        <w:t>4</w:t>
      </w:r>
      <w:r w:rsidR="00F27620" w:rsidRPr="00250BA7">
        <w:rPr>
          <w:rFonts w:cstheme="minorHAnsi"/>
        </w:rPr>
        <w:t xml:space="preserve"> r.</w:t>
      </w:r>
    </w:p>
    <w:p w14:paraId="6D0E1D49" w14:textId="5CBD78DF" w:rsidR="00D271A8" w:rsidRPr="00F11038" w:rsidRDefault="00D271A8" w:rsidP="00F11038">
      <w:pPr>
        <w:pStyle w:val="Akapitzlist"/>
        <w:numPr>
          <w:ilvl w:val="0"/>
          <w:numId w:val="25"/>
        </w:numPr>
        <w:spacing w:after="120"/>
        <w:jc w:val="both"/>
        <w:rPr>
          <w:rFonts w:cstheme="minorHAnsi"/>
          <w:b/>
        </w:rPr>
      </w:pPr>
      <w:r w:rsidRPr="00F11038">
        <w:rPr>
          <w:rFonts w:cstheme="minorHAnsi"/>
          <w:b/>
        </w:rPr>
        <w:t xml:space="preserve">Cel </w:t>
      </w:r>
      <w:r w:rsidR="00F11038" w:rsidRPr="00F11038">
        <w:rPr>
          <w:rFonts w:cstheme="minorHAnsi"/>
          <w:b/>
        </w:rPr>
        <w:t>pracy</w:t>
      </w:r>
      <w:r w:rsidRPr="00F11038">
        <w:rPr>
          <w:rFonts w:cstheme="minorHAnsi"/>
          <w:b/>
        </w:rPr>
        <w:t>:</w:t>
      </w:r>
    </w:p>
    <w:p w14:paraId="4813F6B5" w14:textId="2EFA8CD3" w:rsidR="00F11038" w:rsidRPr="00F11038" w:rsidRDefault="00F11038" w:rsidP="00F11038">
      <w:pPr>
        <w:spacing w:after="120"/>
        <w:jc w:val="both"/>
        <w:rPr>
          <w:rFonts w:cstheme="minorHAnsi"/>
        </w:rPr>
      </w:pPr>
      <w:r w:rsidRPr="00F11038">
        <w:rPr>
          <w:rFonts w:cstheme="minorHAnsi"/>
        </w:rPr>
        <w:t xml:space="preserve">Celem zadania jest </w:t>
      </w:r>
      <w:r>
        <w:rPr>
          <w:rFonts w:cstheme="minorHAnsi"/>
        </w:rPr>
        <w:t xml:space="preserve">przegląd i </w:t>
      </w:r>
      <w:r w:rsidRPr="00F11038">
        <w:rPr>
          <w:rFonts w:cstheme="minorHAnsi"/>
        </w:rPr>
        <w:t xml:space="preserve">opracowanie II aktualizacji zestawu celów środowiskowych dla wód morskich zwanego dalej </w:t>
      </w:r>
      <w:proofErr w:type="spellStart"/>
      <w:r>
        <w:rPr>
          <w:rFonts w:cstheme="minorHAnsi"/>
        </w:rPr>
        <w:t>II</w:t>
      </w:r>
      <w:r w:rsidRPr="00F11038">
        <w:rPr>
          <w:rFonts w:cstheme="minorHAnsi"/>
        </w:rPr>
        <w:t>aZCSWM</w:t>
      </w:r>
      <w:proofErr w:type="spellEnd"/>
      <w:r w:rsidRPr="00F11038">
        <w:rPr>
          <w:rFonts w:cstheme="minorHAnsi"/>
        </w:rPr>
        <w:t xml:space="preserve">. Konieczność opracowania aktualizacji zestawu celów środowiskowych dla wód morskich wynika z art. </w:t>
      </w:r>
      <w:r>
        <w:rPr>
          <w:rFonts w:cstheme="minorHAnsi"/>
        </w:rPr>
        <w:t>10</w:t>
      </w:r>
      <w:r w:rsidRPr="00F11038">
        <w:rPr>
          <w:rFonts w:cstheme="minorHAnsi"/>
        </w:rPr>
        <w:t xml:space="preserve"> ramowej dyrektywy w sprawie strategii morskiej (Dz. Urz. UE L 164 z 25.06.2008, str. 19), która została przetransponowana do prawa krajowego głównie ustawą z dnia 20 lipca 2017 r. Prawo wodne (tj. Dz.U. 2021 poz. 2233). Państwa członkowskie Unii Europejskiej mają obowiązek zgodnie sporządzić dla każdego regionu lub podregionu morskiego strategię morską. Jednym z jej elementów jest opracowanie, a następnie aktualizacja zestawu celów środowiskowych dla wód morskich. Realizacja tego zadania jest, zgodnie z art. 157 ust. 1 ustawy Prawo wodne, obowiązkiem Prezesa PGW WP wykonywanym w uzgodnieniu z ministrem właściwym do spraw gospodarki morskiej, ministrem właściwym do spraw gospodarki wodnej oraz ministrem właściwym do spraw rybołówstwa. Realizacja tego zadania służy również zaprojektowaniu aktualizacji programu działań, których realizacja umożliwi osiągnięcie wskazanych celów w określonej perspektywie czasowej.</w:t>
      </w:r>
    </w:p>
    <w:p w14:paraId="7D68B77D" w14:textId="45EB130E" w:rsidR="00F11038" w:rsidRDefault="00F11038" w:rsidP="00F11038">
      <w:pPr>
        <w:spacing w:after="120"/>
        <w:jc w:val="both"/>
        <w:rPr>
          <w:rFonts w:cstheme="minorHAnsi"/>
        </w:rPr>
      </w:pPr>
      <w:r w:rsidRPr="00F11038">
        <w:rPr>
          <w:rFonts w:cstheme="minorHAnsi"/>
        </w:rPr>
        <w:t>Ponadto wyniki pracy będą służyły wypełnieniu zobowiązań, które Polska podejmuje na forum Komisji Helsińskiej (HELCOM), m.in dotyczących zapewnienia wzajemnej zgodności celów środowiskowych z uwzględnieniem międzynarodowego charakteru Morza Bałtyckiego</w:t>
      </w:r>
      <w:r>
        <w:rPr>
          <w:rFonts w:cstheme="minorHAnsi"/>
        </w:rPr>
        <w:t>.</w:t>
      </w:r>
    </w:p>
    <w:p w14:paraId="6646E3F7" w14:textId="258FC877" w:rsidR="00F11038" w:rsidRDefault="00F11038" w:rsidP="00F11038">
      <w:pPr>
        <w:pStyle w:val="Akapitzlist"/>
        <w:numPr>
          <w:ilvl w:val="0"/>
          <w:numId w:val="25"/>
        </w:numPr>
        <w:spacing w:after="120"/>
        <w:jc w:val="both"/>
        <w:rPr>
          <w:rFonts w:cstheme="minorHAnsi"/>
        </w:rPr>
      </w:pPr>
      <w:r w:rsidRPr="00F11038">
        <w:rPr>
          <w:rFonts w:cstheme="minorHAnsi"/>
          <w:b/>
          <w:bCs/>
        </w:rPr>
        <w:t>Przedmiot pracy</w:t>
      </w:r>
      <w:r>
        <w:rPr>
          <w:rFonts w:cstheme="minorHAnsi"/>
        </w:rPr>
        <w:t>:</w:t>
      </w:r>
    </w:p>
    <w:p w14:paraId="64080E4E" w14:textId="258FC877" w:rsidR="00F11038" w:rsidRDefault="00F11038" w:rsidP="00F11038">
      <w:pPr>
        <w:spacing w:after="120"/>
        <w:jc w:val="both"/>
        <w:rPr>
          <w:rFonts w:cstheme="minorHAnsi"/>
        </w:rPr>
      </w:pPr>
      <w:r>
        <w:rPr>
          <w:rFonts w:cstheme="minorHAnsi"/>
        </w:rPr>
        <w:t xml:space="preserve">Przedmiotem pracy jest opracowanie projektu II </w:t>
      </w:r>
      <w:r w:rsidRPr="00F11038">
        <w:rPr>
          <w:rFonts w:cstheme="minorHAnsi"/>
        </w:rPr>
        <w:t>aktualizacji zestawu celów środowiskowych dla wód morskich</w:t>
      </w:r>
      <w:r>
        <w:rPr>
          <w:rFonts w:cstheme="minorHAnsi"/>
        </w:rPr>
        <w:t>.</w:t>
      </w:r>
    </w:p>
    <w:p w14:paraId="422EBF56" w14:textId="61525220" w:rsidR="00F11038" w:rsidRPr="00F11038" w:rsidRDefault="00F11038" w:rsidP="00F11038">
      <w:pPr>
        <w:pStyle w:val="Akapitzlist"/>
        <w:numPr>
          <w:ilvl w:val="0"/>
          <w:numId w:val="25"/>
        </w:numPr>
        <w:spacing w:after="120"/>
        <w:jc w:val="both"/>
        <w:rPr>
          <w:rFonts w:cstheme="minorHAnsi"/>
        </w:rPr>
      </w:pPr>
      <w:r>
        <w:rPr>
          <w:rFonts w:cstheme="minorHAnsi"/>
          <w:b/>
          <w:bCs/>
        </w:rPr>
        <w:t>Zakres pracy</w:t>
      </w:r>
      <w:r w:rsidRPr="00F11038">
        <w:rPr>
          <w:rFonts w:cstheme="minorHAnsi"/>
        </w:rPr>
        <w:t>:</w:t>
      </w:r>
    </w:p>
    <w:p w14:paraId="0708695D" w14:textId="02C8E7FA" w:rsidR="00F11038" w:rsidRDefault="00F11038" w:rsidP="00F11038">
      <w:pPr>
        <w:spacing w:after="120"/>
        <w:jc w:val="both"/>
        <w:rPr>
          <w:rFonts w:cstheme="minorHAnsi"/>
        </w:rPr>
      </w:pPr>
      <w:r w:rsidRPr="00F11038">
        <w:rPr>
          <w:rFonts w:cstheme="minorHAnsi"/>
        </w:rPr>
        <w:t xml:space="preserve">Planowane przedsięwzięcie zrealizowane zostanie przez Wykonawcę wyłonionego w drodze przetargu nieograniczonego – </w:t>
      </w:r>
      <w:r w:rsidRPr="00E54259">
        <w:rPr>
          <w:rFonts w:cstheme="minorHAnsi"/>
        </w:rPr>
        <w:t>zgodnie z art. 132 ustawy z dnia 11 września 2019 r. – Prawo zamówień publicznych (tj. Dz. U. 2021 poz. 1129).</w:t>
      </w:r>
    </w:p>
    <w:p w14:paraId="4B11B205" w14:textId="520B2D2B" w:rsidR="00F11038" w:rsidRPr="00F11038" w:rsidRDefault="00D271A8" w:rsidP="00F11038">
      <w:pPr>
        <w:pStyle w:val="Akapitzlist"/>
        <w:numPr>
          <w:ilvl w:val="0"/>
          <w:numId w:val="25"/>
        </w:numPr>
        <w:spacing w:after="120"/>
        <w:jc w:val="both"/>
        <w:rPr>
          <w:rFonts w:cstheme="minorHAnsi"/>
          <w:b/>
        </w:rPr>
      </w:pPr>
      <w:r w:rsidRPr="00F11038">
        <w:rPr>
          <w:rFonts w:cstheme="minorHAnsi"/>
          <w:b/>
        </w:rPr>
        <w:t>Zakres merytoryczny:</w:t>
      </w:r>
    </w:p>
    <w:p w14:paraId="373C7BB2" w14:textId="2F61B018" w:rsidR="00FC53A5" w:rsidRPr="006C3C82" w:rsidRDefault="00D271A8" w:rsidP="00C05C14">
      <w:pPr>
        <w:spacing w:after="120"/>
        <w:jc w:val="both"/>
        <w:rPr>
          <w:rFonts w:cstheme="minorHAnsi"/>
        </w:rPr>
      </w:pPr>
      <w:r w:rsidRPr="00250BA7">
        <w:rPr>
          <w:rFonts w:cstheme="minorHAnsi"/>
        </w:rPr>
        <w:t xml:space="preserve">Praca zostanie wykonana w podziale na </w:t>
      </w:r>
      <w:r w:rsidR="00F11038">
        <w:rPr>
          <w:rFonts w:cstheme="minorHAnsi"/>
        </w:rPr>
        <w:t>dwa</w:t>
      </w:r>
      <w:r w:rsidRPr="00250BA7">
        <w:rPr>
          <w:rFonts w:cstheme="minorHAnsi"/>
        </w:rPr>
        <w:t xml:space="preserve"> etapy. Zakres merytoryczny obejmuje następujące elementy:</w:t>
      </w:r>
    </w:p>
    <w:p w14:paraId="2A6171D4" w14:textId="2B54743E" w:rsidR="00F11038" w:rsidRDefault="00FC53A5" w:rsidP="00C05C14">
      <w:pPr>
        <w:tabs>
          <w:tab w:val="num" w:pos="0"/>
        </w:tabs>
        <w:spacing w:before="120" w:after="120"/>
        <w:jc w:val="both"/>
        <w:rPr>
          <w:rFonts w:eastAsia="Batang" w:cstheme="minorHAnsi"/>
          <w:lang w:eastAsia="pl-PL"/>
        </w:rPr>
      </w:pPr>
      <w:r w:rsidRPr="00FC53A5">
        <w:rPr>
          <w:rFonts w:eastAsia="Batang" w:cstheme="minorHAnsi"/>
          <w:b/>
          <w:lang w:eastAsia="pl-PL"/>
        </w:rPr>
        <w:t xml:space="preserve">ETAP I – </w:t>
      </w:r>
      <w:r w:rsidRPr="00AC0492">
        <w:rPr>
          <w:rFonts w:eastAsia="Batang" w:cstheme="minorHAnsi"/>
          <w:lang w:eastAsia="pl-PL"/>
        </w:rPr>
        <w:t>polegać będzie na</w:t>
      </w:r>
      <w:r w:rsidR="00AC0492" w:rsidRPr="00AC0492">
        <w:rPr>
          <w:rFonts w:eastAsia="Batang" w:cstheme="minorHAnsi"/>
          <w:lang w:eastAsia="pl-PL"/>
        </w:rPr>
        <w:t xml:space="preserve"> </w:t>
      </w:r>
      <w:r w:rsidR="00F11038">
        <w:rPr>
          <w:rFonts w:eastAsia="Batang" w:cstheme="minorHAnsi"/>
          <w:lang w:eastAsia="pl-PL"/>
        </w:rPr>
        <w:t xml:space="preserve">stworzeniu metodyki opracowania </w:t>
      </w:r>
      <w:r w:rsidR="00E54259">
        <w:rPr>
          <w:rFonts w:eastAsia="Batang" w:cstheme="minorHAnsi"/>
          <w:lang w:eastAsia="pl-PL"/>
        </w:rPr>
        <w:t xml:space="preserve">aktualizacji zestawu </w:t>
      </w:r>
      <w:r w:rsidR="00F11038">
        <w:rPr>
          <w:rFonts w:eastAsia="Batang" w:cstheme="minorHAnsi"/>
          <w:lang w:eastAsia="pl-PL"/>
        </w:rPr>
        <w:t xml:space="preserve">celów środowiskowych dla wód morskich </w:t>
      </w:r>
      <w:r w:rsidR="00F11038">
        <w:t xml:space="preserve">zgodnie z metodologią zawartą w obowiązujących przewodnikach Komisji Europejskiej, a także stosowaną przez inne kraje członkowskie, w szczególności państwa regionu Morza Bałtyckiego działające w ramach HELCOM, w celu zapewnienia zgodności w całym regionie, a </w:t>
      </w:r>
      <w:r w:rsidR="00F11038">
        <w:lastRenderedPageBreak/>
        <w:t xml:space="preserve">także będzie uwzględniać właściwości typowe dla dobrego stanu wód morskich oraz ocenę dla poszczególnych </w:t>
      </w:r>
      <w:proofErr w:type="spellStart"/>
      <w:r w:rsidR="00F11038">
        <w:t>podakwenów</w:t>
      </w:r>
      <w:proofErr w:type="spellEnd"/>
      <w:r w:rsidR="00F11038">
        <w:t>. Wykonawca dokona oceny postępu w odniesieniu do każdego celu tam, gdzie to możliwe poprzez ilościowe określenie redukcji osiągniętych w określonych rodzajach presji i/lub ich wpływach, bez powtarzania oceny z art. 8 RDSM.</w:t>
      </w:r>
    </w:p>
    <w:p w14:paraId="7E648277" w14:textId="5A3C3FA3" w:rsidR="00FC53A5" w:rsidRDefault="00F11038" w:rsidP="00C05C14">
      <w:pPr>
        <w:tabs>
          <w:tab w:val="num" w:pos="0"/>
        </w:tabs>
        <w:spacing w:before="120" w:after="120"/>
        <w:jc w:val="both"/>
        <w:rPr>
          <w:rFonts w:eastAsia="Batang" w:cstheme="minorHAnsi"/>
          <w:lang w:eastAsia="pl-PL"/>
        </w:rPr>
      </w:pPr>
      <w:r w:rsidRPr="00F11038">
        <w:rPr>
          <w:rFonts w:eastAsia="Batang" w:cstheme="minorHAnsi"/>
          <w:lang w:eastAsia="pl-PL"/>
        </w:rPr>
        <w:t>Zakres zadania będzie również obejmował przegląd istniejących dokumentów, opracowań i raportów, także tych opracowanych w ramach Wspólnej Strategii Wdrażania Ramowej Dyrektywy Wodnej (dyrektywa 2000/60/WE) oraz robionych na ich podstawie opracowań krajowych, w celu uwzględnienia celów środowiskowych wyznaczonych dla wód przejściowych i przybrzeżnych</w:t>
      </w:r>
      <w:r>
        <w:rPr>
          <w:rFonts w:eastAsia="Batang" w:cstheme="minorHAnsi"/>
          <w:lang w:eastAsia="pl-PL"/>
        </w:rPr>
        <w:t xml:space="preserve">. </w:t>
      </w:r>
    </w:p>
    <w:p w14:paraId="076F6845" w14:textId="09534232" w:rsidR="00AC0492" w:rsidRPr="00D95CBD" w:rsidRDefault="00AC0492" w:rsidP="00C05C14">
      <w:pPr>
        <w:tabs>
          <w:tab w:val="num" w:pos="0"/>
        </w:tabs>
        <w:spacing w:before="120" w:after="120"/>
        <w:jc w:val="both"/>
        <w:rPr>
          <w:rFonts w:eastAsia="Batang" w:cstheme="minorHAnsi"/>
          <w:lang w:eastAsia="pl-PL"/>
        </w:rPr>
      </w:pPr>
      <w:r w:rsidRPr="00AC0492">
        <w:rPr>
          <w:rFonts w:eastAsia="Batang" w:cstheme="minorHAnsi"/>
          <w:b/>
          <w:lang w:eastAsia="pl-PL"/>
        </w:rPr>
        <w:t xml:space="preserve">ETAP II </w:t>
      </w:r>
      <w:r>
        <w:rPr>
          <w:rFonts w:eastAsia="Batang" w:cstheme="minorHAnsi"/>
          <w:b/>
          <w:lang w:eastAsia="pl-PL"/>
        </w:rPr>
        <w:t>–</w:t>
      </w:r>
      <w:r w:rsidRPr="00AC0492">
        <w:rPr>
          <w:rFonts w:eastAsia="Batang" w:cstheme="minorHAnsi"/>
          <w:b/>
          <w:lang w:eastAsia="pl-PL"/>
        </w:rPr>
        <w:t xml:space="preserve"> </w:t>
      </w:r>
      <w:r w:rsidRPr="00D95CBD">
        <w:rPr>
          <w:rFonts w:eastAsia="Batang" w:cstheme="minorHAnsi"/>
          <w:lang w:eastAsia="pl-PL"/>
        </w:rPr>
        <w:t>w ramach tego etapu Wykonawca będzie zobowiązany do wykonania następujących zadań głównych:</w:t>
      </w:r>
    </w:p>
    <w:p w14:paraId="5A1F2C76" w14:textId="5CF93505" w:rsidR="00AC0492" w:rsidRDefault="00F11038" w:rsidP="00AC0492">
      <w:pPr>
        <w:pStyle w:val="Akapitzlist"/>
        <w:numPr>
          <w:ilvl w:val="0"/>
          <w:numId w:val="23"/>
        </w:numPr>
        <w:tabs>
          <w:tab w:val="num" w:pos="0"/>
        </w:tabs>
        <w:spacing w:before="120" w:after="120"/>
        <w:jc w:val="both"/>
        <w:rPr>
          <w:rFonts w:eastAsia="Times New Roman" w:cstheme="minorHAnsi"/>
          <w:lang w:eastAsia="pl-PL"/>
        </w:rPr>
      </w:pPr>
      <w:r>
        <w:rPr>
          <w:rFonts w:eastAsia="Times New Roman" w:cstheme="minorHAnsi"/>
          <w:lang w:eastAsia="pl-PL"/>
        </w:rPr>
        <w:t>Opracowanie</w:t>
      </w:r>
      <w:r w:rsidR="00AC0492" w:rsidRPr="00AC0492">
        <w:rPr>
          <w:rFonts w:eastAsia="Times New Roman" w:cstheme="minorHAnsi"/>
          <w:lang w:eastAsia="pl-PL"/>
        </w:rPr>
        <w:t xml:space="preserve"> </w:t>
      </w:r>
      <w:r w:rsidR="00AC0492">
        <w:rPr>
          <w:rFonts w:eastAsia="Times New Roman" w:cstheme="minorHAnsi"/>
          <w:lang w:eastAsia="pl-PL"/>
        </w:rPr>
        <w:t xml:space="preserve">projektu </w:t>
      </w:r>
      <w:r>
        <w:rPr>
          <w:rFonts w:eastAsia="Times New Roman" w:cstheme="minorHAnsi"/>
          <w:lang w:eastAsia="pl-PL"/>
        </w:rPr>
        <w:t xml:space="preserve">II </w:t>
      </w:r>
      <w:r w:rsidR="00AC0492">
        <w:rPr>
          <w:rFonts w:eastAsia="Times New Roman" w:cstheme="minorHAnsi"/>
          <w:lang w:eastAsia="pl-PL"/>
        </w:rPr>
        <w:t xml:space="preserve">aktualizacji </w:t>
      </w:r>
      <w:r>
        <w:rPr>
          <w:rFonts w:eastAsia="Times New Roman" w:cstheme="minorHAnsi"/>
          <w:lang w:eastAsia="pl-PL"/>
        </w:rPr>
        <w:t>zestawu celów środowiskowych dla wód morskich.</w:t>
      </w:r>
      <w:r w:rsidRPr="00F11038">
        <w:rPr>
          <w:rFonts w:eastAsiaTheme="majorEastAsia" w:cstheme="majorBidi"/>
        </w:rPr>
        <w:t xml:space="preserve"> Cele środowiskowe wyznaczone zostaną dla każdego z akwenów lub </w:t>
      </w:r>
      <w:proofErr w:type="spellStart"/>
      <w:r w:rsidRPr="00F11038">
        <w:rPr>
          <w:rFonts w:eastAsiaTheme="majorEastAsia" w:cstheme="majorBidi"/>
        </w:rPr>
        <w:t>subakwenów</w:t>
      </w:r>
      <w:proofErr w:type="spellEnd"/>
      <w:r w:rsidRPr="00F11038">
        <w:rPr>
          <w:rFonts w:eastAsiaTheme="majorEastAsia" w:cstheme="majorBidi"/>
        </w:rPr>
        <w:t xml:space="preserve"> znajdujących się w obrębie polskich wód morskich, zgodnie z metodyką opracowaną w etapie I</w:t>
      </w:r>
      <w:r>
        <w:rPr>
          <w:rFonts w:eastAsiaTheme="majorEastAsia" w:cstheme="majorBidi"/>
        </w:rPr>
        <w:t xml:space="preserve">. </w:t>
      </w:r>
      <w:r w:rsidRPr="2BB5DA3C">
        <w:rPr>
          <w:rFonts w:eastAsiaTheme="majorEastAsia" w:cstheme="majorBidi"/>
        </w:rPr>
        <w:t xml:space="preserve">Opracowując projekt </w:t>
      </w:r>
      <w:proofErr w:type="spellStart"/>
      <w:r>
        <w:rPr>
          <w:rFonts w:eastAsiaTheme="majorEastAsia" w:cstheme="majorBidi"/>
        </w:rPr>
        <w:t>IIaZCSWM</w:t>
      </w:r>
      <w:proofErr w:type="spellEnd"/>
      <w:r w:rsidRPr="2BB5DA3C">
        <w:rPr>
          <w:rFonts w:eastAsiaTheme="majorEastAsia" w:cstheme="majorBidi"/>
        </w:rPr>
        <w:t xml:space="preserve"> Wykonawca uwzględni fakt, że zakres dokumentu musi w sposób ścisły odpowiadać zakresowi określonemu w art. 156 ust. 1 - 3 ustawy Prawo wodne oraz w Rozporządzeniu Ministra Infrastruktury z dnia 25 lutego 2021 r. w sprawie przyjęcia aktualizacji zestawu celów środowiskowych dla wód morskich</w:t>
      </w:r>
      <w:r>
        <w:rPr>
          <w:rFonts w:eastAsiaTheme="majorEastAsia" w:cstheme="majorBidi"/>
        </w:rPr>
        <w:t>.</w:t>
      </w:r>
    </w:p>
    <w:p w14:paraId="2EDBE828" w14:textId="76F342F9" w:rsidR="00F11038" w:rsidRDefault="00F11038" w:rsidP="00F11038">
      <w:pPr>
        <w:pStyle w:val="Akapitzlist"/>
        <w:numPr>
          <w:ilvl w:val="0"/>
          <w:numId w:val="23"/>
        </w:numPr>
        <w:tabs>
          <w:tab w:val="num" w:pos="0"/>
        </w:tabs>
        <w:spacing w:before="120" w:after="120"/>
        <w:jc w:val="both"/>
        <w:rPr>
          <w:rFonts w:eastAsia="Times New Roman" w:cstheme="minorHAnsi"/>
          <w:b/>
          <w:lang w:eastAsia="pl-PL"/>
        </w:rPr>
      </w:pPr>
      <w:r w:rsidRPr="00F11038">
        <w:rPr>
          <w:rFonts w:eastAsia="Times New Roman" w:cstheme="minorHAnsi"/>
          <w:lang w:eastAsia="pl-PL"/>
        </w:rPr>
        <w:t>Przeprowadzenie konsultacji społecznych</w:t>
      </w:r>
      <w:r w:rsidRPr="00F11038">
        <w:rPr>
          <w:rFonts w:eastAsia="Times New Roman" w:cstheme="minorHAnsi"/>
          <w:bCs/>
          <w:lang w:eastAsia="pl-PL"/>
        </w:rPr>
        <w:t>.</w:t>
      </w:r>
    </w:p>
    <w:p w14:paraId="52A1E1F5" w14:textId="04F83862" w:rsidR="00F11038" w:rsidRPr="00F11038" w:rsidRDefault="00F11038" w:rsidP="00FB6008">
      <w:pPr>
        <w:pStyle w:val="Akapitzlist"/>
        <w:numPr>
          <w:ilvl w:val="0"/>
          <w:numId w:val="23"/>
        </w:numPr>
        <w:tabs>
          <w:tab w:val="num" w:pos="0"/>
        </w:tabs>
        <w:spacing w:before="120" w:after="120"/>
        <w:jc w:val="both"/>
        <w:rPr>
          <w:rFonts w:eastAsia="Times New Roman" w:cstheme="minorHAnsi"/>
          <w:lang w:eastAsia="pl-PL"/>
        </w:rPr>
      </w:pPr>
      <w:r w:rsidRPr="00F11038">
        <w:rPr>
          <w:rFonts w:eastAsia="Times New Roman" w:cstheme="minorHAnsi"/>
          <w:lang w:eastAsia="pl-PL"/>
        </w:rPr>
        <w:t xml:space="preserve">Wypełnieniem formularzy raportowych, a także przygotowanie streszczenia dokumentu </w:t>
      </w:r>
      <w:r w:rsidRPr="00F11038">
        <w:rPr>
          <w:rFonts w:eastAsia="Times New Roman" w:cstheme="minorHAnsi"/>
          <w:lang w:eastAsia="pl-PL"/>
        </w:rPr>
        <w:br/>
        <w:t>w języku angielskim. Zakłada się, że raport zostanie przekazany do KE nie później niż do 15 października 2024 r.</w:t>
      </w:r>
    </w:p>
    <w:p w14:paraId="56D71708" w14:textId="1A00351C" w:rsidR="00F11038" w:rsidRPr="00F11038" w:rsidRDefault="00F11038" w:rsidP="00F11038">
      <w:pPr>
        <w:spacing w:before="120" w:after="120"/>
        <w:jc w:val="both"/>
        <w:rPr>
          <w:rFonts w:eastAsia="Times New Roman" w:cstheme="minorHAnsi"/>
          <w:lang w:eastAsia="pl-PL"/>
        </w:rPr>
      </w:pPr>
      <w:r w:rsidRPr="00F11038">
        <w:rPr>
          <w:rFonts w:eastAsia="Batang" w:cstheme="minorHAnsi"/>
          <w:lang w:eastAsia="pl-PL"/>
        </w:rPr>
        <w:t xml:space="preserve">Ponadto przez cały okres trwania </w:t>
      </w:r>
      <w:r>
        <w:rPr>
          <w:rFonts w:eastAsia="Batang" w:cstheme="minorHAnsi"/>
          <w:lang w:eastAsia="pl-PL"/>
        </w:rPr>
        <w:t>umowy</w:t>
      </w:r>
      <w:r w:rsidRPr="00F11038">
        <w:rPr>
          <w:rFonts w:eastAsia="Batang" w:cstheme="minorHAnsi"/>
          <w:lang w:eastAsia="pl-PL"/>
        </w:rPr>
        <w:t xml:space="preserve"> Wykonawca zapewni wsparcie merytoryczne przedstawicielom Zamawiającego w ramach prac grup roboczych HELCOM oraz CIS WG MSFD (również w formie uczestnictwa w spotkaniach, głównie w formule online)</w:t>
      </w:r>
      <w:r>
        <w:rPr>
          <w:rFonts w:eastAsia="Batang" w:cstheme="minorHAnsi"/>
          <w:lang w:eastAsia="pl-PL"/>
        </w:rPr>
        <w:t xml:space="preserve">. </w:t>
      </w:r>
      <w:r w:rsidRPr="00F11038">
        <w:rPr>
          <w:rFonts w:eastAsia="Batang" w:cstheme="minorHAnsi"/>
          <w:lang w:eastAsia="pl-PL"/>
        </w:rPr>
        <w:t>Przewiduje się ok. 6 spotkań CIS MSFD oraz ok. 6 spotkań w ramach HELCOM w ciągu trwania umowy.</w:t>
      </w:r>
    </w:p>
    <w:p w14:paraId="26060A30" w14:textId="4B05663F" w:rsidR="00ED3A19" w:rsidRPr="00F11038" w:rsidRDefault="00ED3A19" w:rsidP="00F11038">
      <w:pPr>
        <w:pStyle w:val="Akapitzlist"/>
        <w:numPr>
          <w:ilvl w:val="0"/>
          <w:numId w:val="25"/>
        </w:numPr>
        <w:spacing w:after="120"/>
        <w:jc w:val="both"/>
        <w:rPr>
          <w:rFonts w:cstheme="minorHAnsi"/>
          <w:b/>
        </w:rPr>
      </w:pPr>
      <w:r w:rsidRPr="00F11038">
        <w:rPr>
          <w:rFonts w:cstheme="minorHAnsi"/>
          <w:b/>
        </w:rPr>
        <w:t>Gwarancja i usługa asysty</w:t>
      </w:r>
    </w:p>
    <w:p w14:paraId="3FA9A59A" w14:textId="38617F8A" w:rsidR="00D271A8" w:rsidRPr="003E53EE" w:rsidRDefault="00D271A8" w:rsidP="00C05C14">
      <w:pPr>
        <w:spacing w:after="120"/>
        <w:jc w:val="both"/>
        <w:rPr>
          <w:rFonts w:cstheme="minorHAnsi"/>
        </w:rPr>
      </w:pPr>
      <w:r w:rsidRPr="003E53EE">
        <w:rPr>
          <w:rFonts w:cstheme="minorHAnsi"/>
        </w:rPr>
        <w:t>Wykonawca udzieli gwarancji</w:t>
      </w:r>
      <w:r w:rsidR="00F11038">
        <w:rPr>
          <w:rFonts w:cstheme="minorHAnsi"/>
        </w:rPr>
        <w:t xml:space="preserve"> na przedmiot Umowy</w:t>
      </w:r>
      <w:r w:rsidRPr="003E53EE">
        <w:rPr>
          <w:rFonts w:cstheme="minorHAnsi"/>
        </w:rPr>
        <w:t xml:space="preserve"> </w:t>
      </w:r>
      <w:r w:rsidR="00F11038">
        <w:rPr>
          <w:rFonts w:cstheme="minorHAnsi"/>
        </w:rPr>
        <w:t xml:space="preserve">na okres 4 lat liczonego </w:t>
      </w:r>
      <w:r w:rsidRPr="003E53EE">
        <w:rPr>
          <w:rFonts w:cstheme="minorHAnsi"/>
        </w:rPr>
        <w:t>od dnia</w:t>
      </w:r>
      <w:r w:rsidR="00F11038">
        <w:rPr>
          <w:rFonts w:cstheme="minorHAnsi"/>
        </w:rPr>
        <w:t xml:space="preserve"> podpisania protokołu</w:t>
      </w:r>
      <w:r w:rsidRPr="003E53EE">
        <w:rPr>
          <w:rFonts w:cstheme="minorHAnsi"/>
        </w:rPr>
        <w:t xml:space="preserve"> odbioru </w:t>
      </w:r>
      <w:r w:rsidR="00F11038">
        <w:rPr>
          <w:rFonts w:cstheme="minorHAnsi"/>
        </w:rPr>
        <w:t xml:space="preserve">końcowego pracy. </w:t>
      </w:r>
      <w:r w:rsidRPr="003E53EE">
        <w:rPr>
          <w:rFonts w:cstheme="minorHAnsi"/>
        </w:rPr>
        <w:t xml:space="preserve">W ramach gwarancji Wykonawca usunie ewentualne błędy ujawnione w tym okresie oraz podejmie się wykonania prac mających na celu zminimalizowanie konsekwencji tych błędów. </w:t>
      </w:r>
    </w:p>
    <w:p w14:paraId="6A42CBE6" w14:textId="3C0FA7D0" w:rsidR="00D271A8" w:rsidRPr="003E53EE" w:rsidRDefault="00D271A8" w:rsidP="00C05C14">
      <w:pPr>
        <w:spacing w:after="0"/>
        <w:jc w:val="both"/>
        <w:rPr>
          <w:rFonts w:cstheme="minorHAnsi"/>
        </w:rPr>
      </w:pPr>
      <w:r w:rsidRPr="003E53EE">
        <w:rPr>
          <w:rFonts w:cstheme="minorHAnsi"/>
        </w:rPr>
        <w:t xml:space="preserve">Dodatkowo, Wykonawca zapewni usługę asysty merytoryczno-technicznej obejmującej </w:t>
      </w:r>
      <w:r w:rsidR="008A47A6" w:rsidRPr="003E53EE">
        <w:rPr>
          <w:rFonts w:eastAsia="Batang" w:cstheme="minorHAnsi"/>
          <w:b/>
          <w:lang w:eastAsia="pl-PL"/>
        </w:rPr>
        <w:br/>
      </w:r>
      <w:r w:rsidRPr="003E53EE">
        <w:rPr>
          <w:rFonts w:cstheme="minorHAnsi"/>
        </w:rPr>
        <w:t xml:space="preserve">w szczególności: </w:t>
      </w:r>
    </w:p>
    <w:p w14:paraId="1F953749" w14:textId="6A18A333" w:rsidR="00D271A8" w:rsidRPr="003E53EE" w:rsidRDefault="00D271A8" w:rsidP="00C05C14">
      <w:pPr>
        <w:spacing w:after="0"/>
        <w:ind w:left="426" w:hanging="142"/>
        <w:jc w:val="both"/>
        <w:rPr>
          <w:rFonts w:cstheme="minorHAnsi"/>
        </w:rPr>
      </w:pPr>
      <w:r w:rsidRPr="003E53EE">
        <w:rPr>
          <w:rFonts w:cstheme="minorHAnsi"/>
        </w:rPr>
        <w:t>-</w:t>
      </w:r>
      <w:r w:rsidR="00AB3D34">
        <w:rPr>
          <w:rFonts w:cstheme="minorHAnsi"/>
        </w:rPr>
        <w:t xml:space="preserve"> </w:t>
      </w:r>
      <w:r w:rsidRPr="003E53EE">
        <w:rPr>
          <w:rFonts w:cstheme="minorHAnsi"/>
        </w:rPr>
        <w:t xml:space="preserve">wsparcie merytoryczne Zamawiającego przy </w:t>
      </w:r>
      <w:r w:rsidR="00D95CBD">
        <w:rPr>
          <w:rFonts w:cstheme="minorHAnsi"/>
        </w:rPr>
        <w:t>uzgadnianiu dokumentu w ramach procedury uzyskania zgody Rady Ministrów</w:t>
      </w:r>
      <w:r w:rsidRPr="003E53EE">
        <w:rPr>
          <w:rFonts w:cstheme="minorHAnsi"/>
        </w:rPr>
        <w:t>;</w:t>
      </w:r>
    </w:p>
    <w:p w14:paraId="57DB0ECF" w14:textId="6301F746" w:rsidR="00D271A8" w:rsidRPr="003E53EE" w:rsidRDefault="00D271A8" w:rsidP="00C05C14">
      <w:pPr>
        <w:spacing w:after="0"/>
        <w:ind w:left="426" w:hanging="142"/>
        <w:jc w:val="both"/>
        <w:rPr>
          <w:rFonts w:cstheme="minorHAnsi"/>
        </w:rPr>
      </w:pPr>
      <w:r w:rsidRPr="003E53EE">
        <w:rPr>
          <w:rFonts w:cstheme="minorHAnsi"/>
        </w:rPr>
        <w:t>- wsparci</w:t>
      </w:r>
      <w:r w:rsidR="000C5740" w:rsidRPr="003E53EE">
        <w:rPr>
          <w:rFonts w:cstheme="minorHAnsi"/>
        </w:rPr>
        <w:t>e</w:t>
      </w:r>
      <w:r w:rsidRPr="003E53EE">
        <w:rPr>
          <w:rFonts w:cstheme="minorHAnsi"/>
        </w:rPr>
        <w:t xml:space="preserve"> merytoryczne w przypadku spotkań Zamawiającego z </w:t>
      </w:r>
      <w:r w:rsidR="00D95CBD">
        <w:rPr>
          <w:rFonts w:cstheme="minorHAnsi"/>
        </w:rPr>
        <w:t xml:space="preserve">grupami roboczymi HELCOM oraz CIS WG MSFD </w:t>
      </w:r>
      <w:r w:rsidRPr="003E53EE">
        <w:rPr>
          <w:rFonts w:cstheme="minorHAnsi"/>
        </w:rPr>
        <w:t xml:space="preserve">dotyczących wyników pracy oraz przyjętych rozwiązań; </w:t>
      </w:r>
    </w:p>
    <w:p w14:paraId="09D3F4BE" w14:textId="76F7CA38" w:rsidR="00D271A8" w:rsidRDefault="00D271A8" w:rsidP="00C05C14">
      <w:pPr>
        <w:spacing w:after="0"/>
        <w:ind w:left="426" w:hanging="142"/>
        <w:jc w:val="both"/>
        <w:rPr>
          <w:rFonts w:cstheme="minorHAnsi"/>
        </w:rPr>
      </w:pPr>
      <w:r w:rsidRPr="003E53EE">
        <w:rPr>
          <w:rFonts w:cstheme="minorHAnsi"/>
        </w:rPr>
        <w:t>- wsparcie merytoryczne Zamawiającego w odpowiedzi na korespondencję w sprawie zadań realizowanych w ramach umowy</w:t>
      </w:r>
    </w:p>
    <w:p w14:paraId="1B15CBA5" w14:textId="00B98FC9" w:rsidR="00F11038" w:rsidRDefault="00F11038" w:rsidP="00C05C14">
      <w:pPr>
        <w:spacing w:after="0"/>
        <w:ind w:left="426" w:hanging="142"/>
        <w:jc w:val="both"/>
        <w:rPr>
          <w:rFonts w:cstheme="minorHAnsi"/>
        </w:rPr>
      </w:pPr>
      <w:r>
        <w:rPr>
          <w:rFonts w:cstheme="minorHAnsi"/>
        </w:rPr>
        <w:t>- w</w:t>
      </w:r>
      <w:r w:rsidRPr="00F11038">
        <w:rPr>
          <w:rFonts w:cstheme="minorHAnsi"/>
        </w:rPr>
        <w:t xml:space="preserve">sparcie merytoryczne Zamawiającego przy ocenie </w:t>
      </w:r>
      <w:proofErr w:type="spellStart"/>
      <w:r>
        <w:rPr>
          <w:rFonts w:cstheme="minorHAnsi"/>
        </w:rPr>
        <w:t>II</w:t>
      </w:r>
      <w:r w:rsidRPr="00F11038">
        <w:rPr>
          <w:rFonts w:cstheme="minorHAnsi"/>
        </w:rPr>
        <w:t>a</w:t>
      </w:r>
      <w:r>
        <w:rPr>
          <w:rFonts w:cstheme="minorHAnsi"/>
        </w:rPr>
        <w:t>ZCSWM</w:t>
      </w:r>
      <w:proofErr w:type="spellEnd"/>
      <w:r w:rsidRPr="00F11038">
        <w:rPr>
          <w:rFonts w:cstheme="minorHAnsi"/>
        </w:rPr>
        <w:t xml:space="preserve"> przez Komisję Europejską, w tym przygotowywanie propozycji odpowiedzi do KE (w terminie maksymalnie</w:t>
      </w:r>
      <w:r>
        <w:rPr>
          <w:rFonts w:cstheme="minorHAnsi"/>
        </w:rPr>
        <w:t xml:space="preserve"> 7</w:t>
      </w:r>
      <w:r w:rsidRPr="00F11038">
        <w:rPr>
          <w:rFonts w:cstheme="minorHAnsi"/>
        </w:rPr>
        <w:t xml:space="preserve"> dni roboczych od przekazania zapytania). Odpowiedzi zostaną przygotowane w języku polskim i angielskim</w:t>
      </w:r>
      <w:r>
        <w:rPr>
          <w:rFonts w:cstheme="minorHAnsi"/>
        </w:rPr>
        <w:t>.</w:t>
      </w:r>
    </w:p>
    <w:p w14:paraId="5484AC29" w14:textId="77777777" w:rsidR="00131479" w:rsidRPr="00250BA7" w:rsidRDefault="00131479" w:rsidP="00C05C14">
      <w:pPr>
        <w:spacing w:after="0"/>
        <w:jc w:val="both"/>
        <w:rPr>
          <w:rFonts w:cstheme="minorHAnsi"/>
          <w:highlight w:val="yellow"/>
        </w:rPr>
      </w:pPr>
    </w:p>
    <w:p w14:paraId="798B9BE6" w14:textId="161D81CB" w:rsidR="00ED3A19" w:rsidRPr="00F11038" w:rsidRDefault="00ED3A19" w:rsidP="00F11038">
      <w:pPr>
        <w:pStyle w:val="Akapitzlist"/>
        <w:numPr>
          <w:ilvl w:val="0"/>
          <w:numId w:val="25"/>
        </w:numPr>
        <w:spacing w:after="120"/>
        <w:jc w:val="both"/>
        <w:rPr>
          <w:rFonts w:cstheme="minorHAnsi"/>
          <w:b/>
        </w:rPr>
      </w:pPr>
      <w:r w:rsidRPr="00F11038">
        <w:rPr>
          <w:rFonts w:cstheme="minorHAnsi"/>
          <w:b/>
        </w:rPr>
        <w:t>Monitorowanie postępu realizacji zamówienia</w:t>
      </w:r>
    </w:p>
    <w:p w14:paraId="6DEC4BC2" w14:textId="77777777" w:rsidR="00250BA7" w:rsidRPr="00250BA7" w:rsidRDefault="00250BA7" w:rsidP="00C05C14">
      <w:pPr>
        <w:widowControl w:val="0"/>
        <w:numPr>
          <w:ilvl w:val="0"/>
          <w:numId w:val="17"/>
        </w:numPr>
        <w:shd w:val="clear" w:color="auto" w:fill="FFFFFF"/>
        <w:tabs>
          <w:tab w:val="left" w:pos="341"/>
        </w:tabs>
        <w:autoSpaceDE w:val="0"/>
        <w:autoSpaceDN w:val="0"/>
        <w:adjustRightInd w:val="0"/>
        <w:spacing w:before="120" w:after="120"/>
        <w:ind w:left="227" w:hanging="227"/>
        <w:jc w:val="both"/>
        <w:rPr>
          <w:rFonts w:eastAsia="Calibri" w:cstheme="minorHAnsi"/>
          <w:color w:val="000000"/>
        </w:rPr>
      </w:pPr>
      <w:r w:rsidRPr="00250BA7">
        <w:rPr>
          <w:rFonts w:eastAsia="Calibri" w:cstheme="minorHAnsi"/>
          <w:color w:val="000000"/>
        </w:rPr>
        <w:t xml:space="preserve">Postęp realizacji zamówienia będzie monitorowany przez Zamawiającego począwszy od dnia podpisania umowy. Wykonawca w sprawozdaniach sporządzanych co dwa miesiące przedstawiał będzie Zamawiającemu informacje o pracach realizowanych w danym okresie sprawozdawczym, jak również pozyskanych danych, zdiagnozowanych problemach i podjętych działaniach w celu </w:t>
      </w:r>
      <w:r w:rsidRPr="00250BA7">
        <w:rPr>
          <w:rFonts w:eastAsia="Calibri" w:cstheme="minorHAnsi"/>
          <w:color w:val="000000"/>
        </w:rPr>
        <w:br/>
        <w:t>ich rozwiązania. Sprawozdania będą sporządzane na szablonie, który przekaże Zamawiający. Sprawozdania muszą być podpisane przez Wykonawcę (Kierownika projektu po stronie Wykonawcy).</w:t>
      </w:r>
    </w:p>
    <w:p w14:paraId="1D235401" w14:textId="77777777" w:rsidR="00250BA7" w:rsidRPr="00250BA7" w:rsidRDefault="00250BA7" w:rsidP="00C05C14">
      <w:pPr>
        <w:widowControl w:val="0"/>
        <w:numPr>
          <w:ilvl w:val="0"/>
          <w:numId w:val="17"/>
        </w:numPr>
        <w:shd w:val="clear" w:color="auto" w:fill="FFFFFF"/>
        <w:tabs>
          <w:tab w:val="left" w:pos="341"/>
        </w:tabs>
        <w:autoSpaceDE w:val="0"/>
        <w:autoSpaceDN w:val="0"/>
        <w:adjustRightInd w:val="0"/>
        <w:spacing w:before="120" w:after="120"/>
        <w:ind w:left="227" w:hanging="227"/>
        <w:jc w:val="both"/>
        <w:rPr>
          <w:rFonts w:eastAsia="Calibri" w:cstheme="minorHAnsi"/>
          <w:color w:val="000000"/>
        </w:rPr>
      </w:pPr>
      <w:r w:rsidRPr="00250BA7">
        <w:rPr>
          <w:rFonts w:eastAsia="Calibri" w:cstheme="minorHAnsi"/>
          <w:color w:val="000000"/>
        </w:rPr>
        <w:t xml:space="preserve">Sprawozdanie dwumiesięczne, o którym mowa w ust. 1 Wykonawca przygotuje i przekaże Zamawiającemu do 5 roboczego dnia miesiąca następującego po okresie, którego dotyczy (dwa miesiące kalendarzowe, za wyjątkiem pierwszego i ostatniego sprawozdania). Zakres czasowy pierwszego i ostatniego sprawozdania zostanie uzgodniony z Zamawiającym, jednak nie będzie </w:t>
      </w:r>
      <w:r w:rsidRPr="00250BA7">
        <w:rPr>
          <w:rFonts w:eastAsia="Calibri" w:cstheme="minorHAnsi"/>
          <w:color w:val="000000"/>
        </w:rPr>
        <w:br/>
        <w:t>on krótszy niż 1 miesiąc i dłuższy niż 3 miesiące. Opcjonalnie, na wniosek Zamawiającego, Wykonawca przedstawi sprawozdanie opisujące postęp w realizacji zadań z całego zakresu zamówienia.</w:t>
      </w:r>
    </w:p>
    <w:p w14:paraId="6F5A6E05" w14:textId="6F7D39BD" w:rsidR="00250BA7" w:rsidRPr="00250BA7" w:rsidRDefault="00250BA7" w:rsidP="00C05C14">
      <w:pPr>
        <w:widowControl w:val="0"/>
        <w:numPr>
          <w:ilvl w:val="0"/>
          <w:numId w:val="17"/>
        </w:numPr>
        <w:autoSpaceDE w:val="0"/>
        <w:autoSpaceDN w:val="0"/>
        <w:adjustRightInd w:val="0"/>
        <w:spacing w:before="120" w:after="120"/>
        <w:ind w:left="227" w:hanging="227"/>
        <w:jc w:val="both"/>
        <w:rPr>
          <w:rFonts w:eastAsia="Calibri" w:cstheme="minorHAnsi"/>
        </w:rPr>
      </w:pPr>
      <w:r w:rsidRPr="00250BA7">
        <w:rPr>
          <w:rFonts w:eastAsia="Calibri" w:cstheme="minorHAnsi"/>
        </w:rPr>
        <w:t xml:space="preserve">Wykonawca będzie przygotowywał zadania w sposób przyrostowy, tzn. realizacja zadań i podzadań prowadzona będzie w powtarzalnych, krótkich krokach o stałej długości (maksymalnie trwających </w:t>
      </w:r>
      <w:r w:rsidR="008A47A6">
        <w:rPr>
          <w:rFonts w:eastAsia="Batang" w:cstheme="minorHAnsi"/>
          <w:b/>
          <w:lang w:eastAsia="pl-PL"/>
        </w:rPr>
        <w:br/>
      </w:r>
      <w:r w:rsidRPr="00250BA7">
        <w:rPr>
          <w:rFonts w:eastAsia="Calibri" w:cstheme="minorHAnsi"/>
        </w:rPr>
        <w:t xml:space="preserve">1 miesiąc). Długość kroków powinna zostać dopasowana do charakteru zadań i podzadań </w:t>
      </w:r>
      <w:r w:rsidRPr="00250BA7">
        <w:rPr>
          <w:rFonts w:eastAsia="Calibri" w:cstheme="minorHAnsi"/>
          <w:color w:val="000000"/>
        </w:rPr>
        <w:br/>
      </w:r>
      <w:r w:rsidRPr="00250BA7">
        <w:rPr>
          <w:rFonts w:eastAsia="Calibri" w:cstheme="minorHAnsi"/>
        </w:rPr>
        <w:t>przez Wykonawcę. Efektem pojedynczego kroku powinny być drobne, działające i skończone zadania, podzadania lub mniejsza część produktu. Wszystkie efekty poszczególnych kroków powinny zostać uzgodnienie z Zamawiającym oraz Grupą roboczą.</w:t>
      </w:r>
    </w:p>
    <w:p w14:paraId="7B3BB6D7" w14:textId="77777777" w:rsidR="00250BA7" w:rsidRPr="00250BA7" w:rsidRDefault="00250BA7" w:rsidP="00C05C14">
      <w:pPr>
        <w:widowControl w:val="0"/>
        <w:numPr>
          <w:ilvl w:val="0"/>
          <w:numId w:val="17"/>
        </w:numPr>
        <w:autoSpaceDE w:val="0"/>
        <w:autoSpaceDN w:val="0"/>
        <w:adjustRightInd w:val="0"/>
        <w:spacing w:before="120" w:after="120"/>
        <w:ind w:left="227" w:hanging="227"/>
        <w:jc w:val="both"/>
        <w:rPr>
          <w:rFonts w:eastAsia="Calibri" w:cstheme="minorHAnsi"/>
        </w:rPr>
      </w:pPr>
      <w:r w:rsidRPr="00250BA7">
        <w:rPr>
          <w:rFonts w:eastAsia="Calibri" w:cstheme="minorHAnsi"/>
        </w:rPr>
        <w:t>Wyklucza się dostarczenie całego etapu – wszystkich zadań i podzadań w jednym terminie.</w:t>
      </w:r>
    </w:p>
    <w:p w14:paraId="3CE24E37" w14:textId="670E13A5" w:rsidR="00250BA7" w:rsidRPr="00250BA7" w:rsidRDefault="00250BA7" w:rsidP="00C05C14">
      <w:pPr>
        <w:widowControl w:val="0"/>
        <w:numPr>
          <w:ilvl w:val="0"/>
          <w:numId w:val="17"/>
        </w:numPr>
        <w:autoSpaceDE w:val="0"/>
        <w:autoSpaceDN w:val="0"/>
        <w:adjustRightInd w:val="0"/>
        <w:spacing w:before="120" w:after="120"/>
        <w:ind w:left="227" w:hanging="227"/>
        <w:jc w:val="both"/>
        <w:rPr>
          <w:rFonts w:eastAsia="Calibri" w:cstheme="minorHAnsi"/>
          <w:color w:val="000000"/>
        </w:rPr>
      </w:pPr>
      <w:r w:rsidRPr="00250BA7">
        <w:rPr>
          <w:rFonts w:eastAsia="Calibri" w:cstheme="minorHAnsi"/>
          <w:color w:val="000000"/>
        </w:rPr>
        <w:t xml:space="preserve">Na prośbę Zamawiającego, Wykonawca doprecyzuje informacje zawarte w przygotowanych sprawozdaniach. Sprawozdania przekazywane będą </w:t>
      </w:r>
      <w:r w:rsidRPr="003E53EE">
        <w:rPr>
          <w:rFonts w:eastAsia="Calibri" w:cstheme="minorHAnsi"/>
          <w:color w:val="000000"/>
        </w:rPr>
        <w:t xml:space="preserve">członkom </w:t>
      </w:r>
      <w:r w:rsidR="003E53EE" w:rsidRPr="003E53EE">
        <w:rPr>
          <w:rFonts w:eastAsia="Calibri" w:cstheme="minorHAnsi"/>
          <w:color w:val="000000"/>
        </w:rPr>
        <w:t>Zespołu Monitorującego</w:t>
      </w:r>
      <w:r w:rsidRPr="003E53EE">
        <w:rPr>
          <w:rFonts w:eastAsia="Calibri" w:cstheme="minorHAnsi"/>
          <w:color w:val="000000"/>
        </w:rPr>
        <w:t>.</w:t>
      </w:r>
    </w:p>
    <w:p w14:paraId="2781D795" w14:textId="77777777" w:rsidR="00250BA7" w:rsidRPr="00250BA7" w:rsidRDefault="00250BA7" w:rsidP="00C05C14">
      <w:pPr>
        <w:widowControl w:val="0"/>
        <w:numPr>
          <w:ilvl w:val="0"/>
          <w:numId w:val="17"/>
        </w:numPr>
        <w:autoSpaceDE w:val="0"/>
        <w:autoSpaceDN w:val="0"/>
        <w:adjustRightInd w:val="0"/>
        <w:spacing w:before="120" w:after="120"/>
        <w:ind w:left="227" w:hanging="227"/>
        <w:jc w:val="both"/>
        <w:rPr>
          <w:rFonts w:eastAsia="Calibri" w:cstheme="minorHAnsi"/>
          <w:color w:val="000000"/>
        </w:rPr>
      </w:pPr>
      <w:r w:rsidRPr="00250BA7">
        <w:rPr>
          <w:rFonts w:eastAsia="Calibri" w:cstheme="minorHAnsi"/>
          <w:color w:val="000000"/>
        </w:rPr>
        <w:t>W celu oceny jakości i stopnia zaawansowania prac, Zamawiającemu przysługuje prawo żądania (na każdym etapie pracy) natychmiastowego przekazania aktualnych wersji roboczych dokumentów, zestawień, baz danych itp. opracowywanych przez Wykonawcę w ramach niniejszego zamówienia.</w:t>
      </w:r>
    </w:p>
    <w:p w14:paraId="3134D4A8" w14:textId="160BF0D4" w:rsidR="00D902B7" w:rsidRPr="0028061F" w:rsidRDefault="00250BA7" w:rsidP="00C05C14">
      <w:pPr>
        <w:widowControl w:val="0"/>
        <w:numPr>
          <w:ilvl w:val="0"/>
          <w:numId w:val="17"/>
        </w:numPr>
        <w:autoSpaceDE w:val="0"/>
        <w:autoSpaceDN w:val="0"/>
        <w:adjustRightInd w:val="0"/>
        <w:spacing w:before="120" w:after="120"/>
        <w:ind w:left="227" w:hanging="227"/>
        <w:jc w:val="both"/>
        <w:rPr>
          <w:rFonts w:eastAsia="Calibri" w:cstheme="minorHAnsi"/>
          <w:color w:val="000000"/>
        </w:rPr>
      </w:pPr>
      <w:r w:rsidRPr="00250BA7">
        <w:rPr>
          <w:rFonts w:eastAsia="Calibri" w:cstheme="minorHAnsi"/>
          <w:color w:val="000000"/>
        </w:rPr>
        <w:t xml:space="preserve">W przypadku stwierdzenia opóźnień w realizacji Produktu/Produktów, mogących mieć wpływ </w:t>
      </w:r>
      <w:r w:rsidRPr="00250BA7">
        <w:rPr>
          <w:rFonts w:eastAsia="Calibri" w:cstheme="minorHAnsi"/>
          <w:color w:val="000000"/>
        </w:rPr>
        <w:br/>
        <w:t xml:space="preserve">na terminowe opracowanie całości pracy/Etapu, Wykonawca zobowiązany będzie </w:t>
      </w:r>
      <w:r w:rsidRPr="00250BA7">
        <w:rPr>
          <w:rFonts w:eastAsia="Calibri" w:cstheme="minorHAnsi"/>
          <w:color w:val="000000"/>
        </w:rPr>
        <w:br/>
        <w:t>do zintensyfikowania prowadzonych prac i przygotowania planu naprawczego.</w:t>
      </w:r>
    </w:p>
    <w:p w14:paraId="056A75C0" w14:textId="77777777" w:rsidR="00D271A8" w:rsidRPr="00D80AC4" w:rsidRDefault="00D271A8" w:rsidP="00C05C14">
      <w:pPr>
        <w:spacing w:after="120"/>
        <w:jc w:val="both"/>
        <w:rPr>
          <w:rFonts w:cstheme="minorHAnsi"/>
          <w:u w:val="single"/>
        </w:rPr>
      </w:pPr>
      <w:r w:rsidRPr="00D80AC4">
        <w:rPr>
          <w:rFonts w:cstheme="minorHAnsi"/>
          <w:u w:val="single"/>
        </w:rPr>
        <w:t>W trakcie realizacji pracy muszą zostać wykorzystane co najmniej następujące materiały:</w:t>
      </w:r>
    </w:p>
    <w:p w14:paraId="35D45867" w14:textId="662D0320" w:rsidR="00250BA7" w:rsidRDefault="00691635" w:rsidP="00AB3D34">
      <w:pPr>
        <w:numPr>
          <w:ilvl w:val="0"/>
          <w:numId w:val="18"/>
        </w:numPr>
        <w:spacing w:before="120" w:after="120"/>
        <w:contextualSpacing/>
        <w:jc w:val="both"/>
        <w:rPr>
          <w:rFonts w:ascii="Calibri" w:hAnsi="Calibri" w:cs="Calibri"/>
          <w:lang w:eastAsia="zh-CN"/>
        </w:rPr>
      </w:pPr>
      <w:r>
        <w:rPr>
          <w:rFonts w:ascii="Calibri" w:hAnsi="Calibri" w:cs="Calibri"/>
          <w:lang w:eastAsia="zh-CN"/>
        </w:rPr>
        <w:t>U</w:t>
      </w:r>
      <w:r w:rsidR="00250BA7" w:rsidRPr="00D80AC4">
        <w:rPr>
          <w:rFonts w:ascii="Calibri" w:hAnsi="Calibri" w:cs="Calibri"/>
          <w:lang w:eastAsia="zh-CN"/>
        </w:rPr>
        <w:t>staw</w:t>
      </w:r>
      <w:r w:rsidR="00F11038">
        <w:rPr>
          <w:rFonts w:ascii="Calibri" w:hAnsi="Calibri" w:cs="Calibri"/>
          <w:lang w:eastAsia="zh-CN"/>
        </w:rPr>
        <w:t>a</w:t>
      </w:r>
      <w:r w:rsidR="00250BA7" w:rsidRPr="00D80AC4">
        <w:rPr>
          <w:rFonts w:ascii="Calibri" w:hAnsi="Calibri" w:cs="Calibri"/>
          <w:lang w:eastAsia="zh-CN"/>
        </w:rPr>
        <w:t xml:space="preserve"> Prawo wodne z dnia 20 lipca 2017 r. (Dz.</w:t>
      </w:r>
      <w:r w:rsidR="00664D68">
        <w:rPr>
          <w:rFonts w:ascii="Calibri" w:hAnsi="Calibri" w:cs="Calibri"/>
          <w:lang w:eastAsia="zh-CN"/>
        </w:rPr>
        <w:t xml:space="preserve"> </w:t>
      </w:r>
      <w:r w:rsidR="00250BA7" w:rsidRPr="00D80AC4">
        <w:rPr>
          <w:rFonts w:ascii="Calibri" w:hAnsi="Calibri" w:cs="Calibri"/>
          <w:lang w:eastAsia="zh-CN"/>
        </w:rPr>
        <w:t>U. 2018 poz. 2</w:t>
      </w:r>
      <w:r w:rsidR="00F11038">
        <w:rPr>
          <w:rFonts w:ascii="Calibri" w:hAnsi="Calibri" w:cs="Calibri"/>
          <w:lang w:eastAsia="zh-CN"/>
        </w:rPr>
        <w:t>625</w:t>
      </w:r>
      <w:r w:rsidR="00250BA7" w:rsidRPr="00D80AC4">
        <w:rPr>
          <w:rFonts w:ascii="Calibri" w:hAnsi="Calibri" w:cs="Calibri"/>
          <w:lang w:eastAsia="zh-CN"/>
        </w:rPr>
        <w:t xml:space="preserve">, ze zm.) </w:t>
      </w:r>
      <w:r w:rsidR="00250BA7" w:rsidRPr="00D80AC4">
        <w:rPr>
          <w:rFonts w:ascii="Calibri" w:hAnsi="Calibri" w:cs="Calibri"/>
          <w:lang w:eastAsia="zh-CN"/>
        </w:rPr>
        <w:br/>
        <w:t>wraz z aktami wykonawczymi</w:t>
      </w:r>
      <w:bookmarkStart w:id="0" w:name="_Hlk4755179"/>
      <w:r w:rsidR="00664D68">
        <w:rPr>
          <w:rFonts w:ascii="Calibri" w:hAnsi="Calibri" w:cs="Calibri"/>
          <w:lang w:eastAsia="zh-CN"/>
        </w:rPr>
        <w:t>;</w:t>
      </w:r>
    </w:p>
    <w:p w14:paraId="6A4A53D8" w14:textId="43455C92" w:rsidR="00F11038" w:rsidRPr="00AB3D34" w:rsidRDefault="00F11038" w:rsidP="00AB3D34">
      <w:pPr>
        <w:numPr>
          <w:ilvl w:val="0"/>
          <w:numId w:val="18"/>
        </w:numPr>
        <w:spacing w:before="120" w:after="120"/>
        <w:contextualSpacing/>
        <w:jc w:val="both"/>
        <w:rPr>
          <w:rFonts w:ascii="Calibri" w:hAnsi="Calibri" w:cs="Calibri"/>
          <w:lang w:eastAsia="zh-CN"/>
        </w:rPr>
      </w:pPr>
      <w:r w:rsidRPr="0012268C">
        <w:t>Dyrektyw</w:t>
      </w:r>
      <w:r>
        <w:t>a</w:t>
      </w:r>
      <w:r w:rsidRPr="0012268C">
        <w:t xml:space="preserve"> Parlamentu Europejskiego i Rady 2008/56/WE z dnia 17 czerwca 2008 r. ustanawiającej ramy działań Wspólnoty w dziedzinie polityki środowiska morskiego (Ramowa Dyrektywa w sprawie Strategii Morskiej</w:t>
      </w:r>
      <w:r>
        <w:t>);</w:t>
      </w:r>
    </w:p>
    <w:p w14:paraId="318E7E98" w14:textId="7C7C3CB3" w:rsidR="00AB3D34" w:rsidRDefault="00AB3D34" w:rsidP="00AB3D34">
      <w:pPr>
        <w:numPr>
          <w:ilvl w:val="0"/>
          <w:numId w:val="18"/>
        </w:numPr>
        <w:spacing w:before="120" w:after="120"/>
        <w:contextualSpacing/>
        <w:jc w:val="both"/>
        <w:rPr>
          <w:rFonts w:ascii="Calibri" w:hAnsi="Calibri" w:cs="Calibri"/>
          <w:lang w:eastAsia="zh-CN"/>
        </w:rPr>
      </w:pPr>
      <w:r>
        <w:rPr>
          <w:rFonts w:ascii="Calibri" w:hAnsi="Calibri" w:cs="Calibri"/>
          <w:lang w:eastAsia="zh-CN"/>
        </w:rPr>
        <w:t>Dokumenty planistyczne opracowane w ramach I cyklu wdrażania strategii morskiej oraz ich aktualizacje (dot. art. 8, 9,</w:t>
      </w:r>
      <w:r w:rsidR="00664D68">
        <w:rPr>
          <w:rFonts w:ascii="Calibri" w:hAnsi="Calibri" w:cs="Calibri"/>
          <w:lang w:eastAsia="zh-CN"/>
        </w:rPr>
        <w:t xml:space="preserve"> </w:t>
      </w:r>
      <w:r>
        <w:rPr>
          <w:rFonts w:ascii="Calibri" w:hAnsi="Calibri" w:cs="Calibri"/>
          <w:lang w:eastAsia="zh-CN"/>
        </w:rPr>
        <w:t>10 oraz 11 RDSM);</w:t>
      </w:r>
      <w:r w:rsidR="00F11038">
        <w:rPr>
          <w:rFonts w:ascii="Calibri" w:hAnsi="Calibri" w:cs="Calibri"/>
          <w:lang w:eastAsia="zh-CN"/>
        </w:rPr>
        <w:t xml:space="preserve"> </w:t>
      </w:r>
    </w:p>
    <w:p w14:paraId="4531933E" w14:textId="31AFA314" w:rsidR="00F11038" w:rsidRPr="00AB3D34" w:rsidRDefault="00F11038" w:rsidP="00AB3D34">
      <w:pPr>
        <w:numPr>
          <w:ilvl w:val="0"/>
          <w:numId w:val="18"/>
        </w:numPr>
        <w:spacing w:before="120" w:after="120"/>
        <w:contextualSpacing/>
        <w:jc w:val="both"/>
        <w:rPr>
          <w:rFonts w:ascii="Calibri" w:hAnsi="Calibri" w:cs="Calibri"/>
          <w:lang w:eastAsia="zh-CN"/>
        </w:rPr>
      </w:pPr>
      <w:r>
        <w:rPr>
          <w:rFonts w:ascii="Calibri" w:hAnsi="Calibri" w:cs="Calibri"/>
          <w:lang w:eastAsia="zh-CN"/>
        </w:rPr>
        <w:t>Najbardziej aktualny przewodnik do raportowania opracowany w ramach grupy roboczej DIKE;</w:t>
      </w:r>
    </w:p>
    <w:p w14:paraId="549CF869" w14:textId="1A505AB4" w:rsidR="00250BA7" w:rsidRDefault="00250BA7" w:rsidP="00C05C14">
      <w:pPr>
        <w:numPr>
          <w:ilvl w:val="0"/>
          <w:numId w:val="18"/>
        </w:numPr>
        <w:spacing w:before="120" w:after="120"/>
        <w:contextualSpacing/>
        <w:jc w:val="both"/>
        <w:rPr>
          <w:rFonts w:ascii="Calibri" w:hAnsi="Calibri" w:cs="Calibri"/>
          <w:lang w:eastAsia="zh-CN"/>
        </w:rPr>
      </w:pPr>
      <w:bookmarkStart w:id="1" w:name="_Hlk536775214"/>
      <w:r w:rsidRPr="00D80AC4">
        <w:rPr>
          <w:rFonts w:ascii="Calibri" w:eastAsia="Calibri" w:hAnsi="Calibri" w:cs="Calibri"/>
        </w:rPr>
        <w:t>Dane monitoringowe GIOŚ</w:t>
      </w:r>
      <w:bookmarkEnd w:id="1"/>
      <w:r w:rsidRPr="00E4235B">
        <w:rPr>
          <w:rFonts w:ascii="Calibri" w:hAnsi="Calibri" w:cs="Calibri"/>
          <w:lang w:eastAsia="zh-CN"/>
        </w:rPr>
        <w:t>;</w:t>
      </w:r>
    </w:p>
    <w:p w14:paraId="17B46E87" w14:textId="21F03D52" w:rsidR="00AB3D34" w:rsidRDefault="00F11038" w:rsidP="00C05C14">
      <w:pPr>
        <w:numPr>
          <w:ilvl w:val="0"/>
          <w:numId w:val="18"/>
        </w:numPr>
        <w:spacing w:before="120" w:after="120"/>
        <w:contextualSpacing/>
        <w:jc w:val="both"/>
        <w:rPr>
          <w:rFonts w:ascii="Calibri" w:hAnsi="Calibri" w:cs="Calibri"/>
          <w:lang w:eastAsia="zh-CN"/>
        </w:rPr>
      </w:pPr>
      <w:r>
        <w:rPr>
          <w:rFonts w:ascii="Calibri" w:hAnsi="Calibri" w:cs="Calibri"/>
          <w:lang w:eastAsia="zh-CN"/>
        </w:rPr>
        <w:lastRenderedPageBreak/>
        <w:t>O</w:t>
      </w:r>
      <w:r w:rsidRPr="00F11038">
        <w:rPr>
          <w:rFonts w:ascii="Calibri" w:hAnsi="Calibri" w:cs="Calibri"/>
          <w:lang w:eastAsia="zh-CN"/>
        </w:rPr>
        <w:t>cen</w:t>
      </w:r>
      <w:r>
        <w:rPr>
          <w:rFonts w:ascii="Calibri" w:hAnsi="Calibri" w:cs="Calibri"/>
          <w:lang w:eastAsia="zh-CN"/>
        </w:rPr>
        <w:t>a</w:t>
      </w:r>
      <w:r w:rsidRPr="00F11038">
        <w:rPr>
          <w:rFonts w:ascii="Calibri" w:hAnsi="Calibri" w:cs="Calibri"/>
          <w:lang w:eastAsia="zh-CN"/>
        </w:rPr>
        <w:t xml:space="preserve"> Komisji Europejskiej dot. opracowania celów środowiskowych zgodnie z art. 10  Ramowej Dyrektywy w sprawie Strategii Morskiej</w:t>
      </w:r>
      <w:r>
        <w:rPr>
          <w:rFonts w:ascii="Calibri" w:hAnsi="Calibri" w:cs="Calibri"/>
          <w:lang w:eastAsia="zh-CN"/>
        </w:rPr>
        <w:t>;</w:t>
      </w:r>
    </w:p>
    <w:p w14:paraId="67EAF513" w14:textId="2EC70234" w:rsidR="00F11038" w:rsidRPr="00F11038" w:rsidRDefault="00F11038" w:rsidP="00C05C14">
      <w:pPr>
        <w:numPr>
          <w:ilvl w:val="0"/>
          <w:numId w:val="18"/>
        </w:numPr>
        <w:spacing w:before="120" w:after="120"/>
        <w:contextualSpacing/>
        <w:jc w:val="both"/>
        <w:rPr>
          <w:rFonts w:ascii="Calibri" w:hAnsi="Calibri" w:cs="Calibri"/>
          <w:lang w:eastAsia="zh-CN"/>
        </w:rPr>
      </w:pPr>
      <w:r>
        <w:rPr>
          <w:rFonts w:ascii="Calibri" w:hAnsi="Calibri" w:cs="Calibri"/>
          <w:lang w:eastAsia="zh-CN"/>
        </w:rPr>
        <w:t xml:space="preserve">Zalecenia Komisji Europejskiej mające na celu </w:t>
      </w:r>
      <w:r w:rsidRPr="00F11038">
        <w:rPr>
          <w:rFonts w:ascii="Calibri" w:hAnsi="Calibri" w:cs="Calibri"/>
          <w:lang w:eastAsia="zh-CN"/>
        </w:rPr>
        <w:t>określenie, w jaki sposób należy ulepszyć sprawozdania dotyczące art. 8, 9 i 10 podczas kolejnej aktualizacji w październiku 2024</w:t>
      </w:r>
      <w:r>
        <w:rPr>
          <w:rFonts w:ascii="Calibri" w:hAnsi="Calibri" w:cs="Calibri"/>
          <w:lang w:eastAsia="zh-CN"/>
        </w:rPr>
        <w:t xml:space="preserve"> r.;</w:t>
      </w:r>
    </w:p>
    <w:p w14:paraId="24F2BB9F" w14:textId="42AA53C4" w:rsidR="00250BA7" w:rsidRPr="00E4235B" w:rsidRDefault="00250BA7" w:rsidP="00C05C14">
      <w:pPr>
        <w:numPr>
          <w:ilvl w:val="0"/>
          <w:numId w:val="18"/>
        </w:numPr>
        <w:spacing w:before="120" w:after="120"/>
        <w:contextualSpacing/>
        <w:jc w:val="both"/>
        <w:rPr>
          <w:rFonts w:ascii="Calibri" w:hAnsi="Calibri" w:cs="Calibri"/>
          <w:lang w:eastAsia="zh-CN"/>
        </w:rPr>
      </w:pPr>
      <w:r w:rsidRPr="00F11038">
        <w:rPr>
          <w:rFonts w:ascii="Calibri" w:hAnsi="Calibri" w:cs="Calibri"/>
          <w:lang w:eastAsia="zh-CN"/>
        </w:rPr>
        <w:t>„</w:t>
      </w:r>
      <w:r w:rsidR="00F11038" w:rsidRPr="00F11038">
        <w:rPr>
          <w:rFonts w:ascii="Calibri" w:hAnsi="Calibri" w:cs="Calibri"/>
          <w:lang w:eastAsia="zh-CN"/>
        </w:rPr>
        <w:t xml:space="preserve"> II </w:t>
      </w:r>
      <w:r w:rsidR="00F11038">
        <w:rPr>
          <w:rFonts w:ascii="Calibri" w:hAnsi="Calibri" w:cs="Calibri"/>
          <w:lang w:eastAsia="zh-CN"/>
        </w:rPr>
        <w:t>a</w:t>
      </w:r>
      <w:r w:rsidRPr="00F11038">
        <w:rPr>
          <w:rFonts w:ascii="Calibri" w:hAnsi="Calibri" w:cs="Calibri"/>
          <w:lang w:eastAsia="zh-CN"/>
        </w:rPr>
        <w:t>ktualizacj</w:t>
      </w:r>
      <w:r w:rsidR="00F11038" w:rsidRPr="00F11038">
        <w:rPr>
          <w:rFonts w:ascii="Calibri" w:hAnsi="Calibri" w:cs="Calibri"/>
          <w:lang w:eastAsia="zh-CN"/>
        </w:rPr>
        <w:t>a</w:t>
      </w:r>
      <w:r w:rsidRPr="00F11038">
        <w:rPr>
          <w:rFonts w:ascii="Calibri" w:hAnsi="Calibri" w:cs="Calibri"/>
          <w:lang w:eastAsia="zh-CN"/>
        </w:rPr>
        <w:t xml:space="preserve"> planów gospodarowania wodami na obszarach dorzeczy</w:t>
      </w:r>
      <w:r w:rsidRPr="00E4235B">
        <w:rPr>
          <w:rFonts w:ascii="Calibri" w:hAnsi="Calibri" w:cs="Calibri"/>
          <w:lang w:eastAsia="zh-CN"/>
        </w:rPr>
        <w:t xml:space="preserve"> w Polsce”</w:t>
      </w:r>
      <w:r w:rsidR="00AB3D34">
        <w:rPr>
          <w:rFonts w:ascii="Calibri" w:hAnsi="Calibri" w:cs="Calibri"/>
          <w:lang w:eastAsia="zh-CN"/>
        </w:rPr>
        <w:t>;</w:t>
      </w:r>
    </w:p>
    <w:p w14:paraId="0F1496AF" w14:textId="23AC58BD" w:rsidR="00250BA7" w:rsidRDefault="00250BA7" w:rsidP="00C05C14">
      <w:pPr>
        <w:numPr>
          <w:ilvl w:val="0"/>
          <w:numId w:val="18"/>
        </w:numPr>
        <w:spacing w:before="120" w:after="120"/>
        <w:contextualSpacing/>
        <w:jc w:val="both"/>
        <w:rPr>
          <w:rFonts w:ascii="Calibri" w:hAnsi="Calibri" w:cs="Calibri"/>
          <w:lang w:eastAsia="zh-CN"/>
        </w:rPr>
      </w:pPr>
      <w:r w:rsidRPr="00E4235B">
        <w:rPr>
          <w:rFonts w:ascii="Calibri" w:hAnsi="Calibri" w:cs="Calibri"/>
          <w:lang w:eastAsia="zh-CN"/>
        </w:rPr>
        <w:t>„Identyfikacja presji w regionach wodnych i na obszarach dorzeczy”</w:t>
      </w:r>
      <w:r w:rsidR="00F11038">
        <w:rPr>
          <w:rFonts w:ascii="Calibri" w:hAnsi="Calibri" w:cs="Calibri"/>
          <w:lang w:eastAsia="zh-CN"/>
        </w:rPr>
        <w:t>;</w:t>
      </w:r>
      <w:r w:rsidRPr="00E4235B">
        <w:rPr>
          <w:rFonts w:ascii="Calibri" w:hAnsi="Calibri" w:cs="Calibri"/>
          <w:lang w:eastAsia="zh-CN"/>
        </w:rPr>
        <w:t xml:space="preserve"> </w:t>
      </w:r>
    </w:p>
    <w:p w14:paraId="0CEE2F8C" w14:textId="25D507F4" w:rsidR="00F11038" w:rsidRPr="00F11038" w:rsidRDefault="00F11038" w:rsidP="00C05C14">
      <w:pPr>
        <w:numPr>
          <w:ilvl w:val="0"/>
          <w:numId w:val="18"/>
        </w:numPr>
        <w:spacing w:before="120" w:after="120"/>
        <w:contextualSpacing/>
        <w:jc w:val="both"/>
        <w:rPr>
          <w:rFonts w:ascii="Calibri" w:hAnsi="Calibri" w:cs="Calibri"/>
          <w:lang w:eastAsia="zh-CN"/>
        </w:rPr>
      </w:pPr>
      <w:r>
        <w:rPr>
          <w:rFonts w:eastAsiaTheme="minorEastAsia"/>
        </w:rPr>
        <w:t>„O</w:t>
      </w:r>
      <w:r w:rsidRPr="00F11038">
        <w:rPr>
          <w:rFonts w:eastAsiaTheme="minorEastAsia"/>
        </w:rPr>
        <w:t>pracowanie aktualizacji analizy dominujących presji i oddziaływań, w tym antropogenicznych, pochodzenia morskiego na wody morskie polskiej strefy Morza Bałtyckiego</w:t>
      </w:r>
      <w:r>
        <w:rPr>
          <w:rFonts w:eastAsiaTheme="minorEastAsia"/>
        </w:rPr>
        <w:t>”;</w:t>
      </w:r>
    </w:p>
    <w:p w14:paraId="4869658F" w14:textId="789EE571" w:rsidR="00F11038" w:rsidRPr="00E4235B" w:rsidRDefault="00F11038" w:rsidP="00C05C14">
      <w:pPr>
        <w:numPr>
          <w:ilvl w:val="0"/>
          <w:numId w:val="18"/>
        </w:numPr>
        <w:spacing w:before="120" w:after="120"/>
        <w:contextualSpacing/>
        <w:jc w:val="both"/>
        <w:rPr>
          <w:rFonts w:ascii="Calibri" w:hAnsi="Calibri" w:cs="Calibri"/>
          <w:lang w:eastAsia="zh-CN"/>
        </w:rPr>
      </w:pPr>
      <w:r>
        <w:t>„</w:t>
      </w:r>
      <w:r w:rsidRPr="00B108DC">
        <w:t>Opracowanie aktualizacji programu ochrony wód morskich</w:t>
      </w:r>
      <w:r>
        <w:t>”;</w:t>
      </w:r>
    </w:p>
    <w:p w14:paraId="35CC866D" w14:textId="02D51D09" w:rsidR="00250BA7" w:rsidRDefault="00250BA7" w:rsidP="00C05C14">
      <w:pPr>
        <w:numPr>
          <w:ilvl w:val="0"/>
          <w:numId w:val="18"/>
        </w:numPr>
        <w:spacing w:before="120" w:after="120"/>
        <w:contextualSpacing/>
        <w:jc w:val="both"/>
        <w:rPr>
          <w:rFonts w:ascii="Calibri" w:hAnsi="Calibri" w:cs="Calibri"/>
          <w:lang w:eastAsia="zh-CN"/>
        </w:rPr>
      </w:pPr>
      <w:r w:rsidRPr="00E4235B">
        <w:rPr>
          <w:rFonts w:ascii="Calibri" w:hAnsi="Calibri" w:cs="Calibri"/>
          <w:lang w:eastAsia="zh-CN"/>
        </w:rPr>
        <w:t>„Opracowanie i przetestowanie wielowymiarowego, dynamicznego modelu obliczania ładunków zanieczyszczeń odprowadzanych rzekami do Morza Bałtyckiego”</w:t>
      </w:r>
      <w:r w:rsidR="00F11038">
        <w:rPr>
          <w:rFonts w:ascii="Calibri" w:hAnsi="Calibri" w:cs="Calibri"/>
          <w:lang w:eastAsia="zh-CN"/>
        </w:rPr>
        <w:t>;</w:t>
      </w:r>
    </w:p>
    <w:p w14:paraId="00CEEA42" w14:textId="44C794D9" w:rsidR="00F11038" w:rsidRPr="00E4235B" w:rsidRDefault="00F11038" w:rsidP="00C05C14">
      <w:pPr>
        <w:numPr>
          <w:ilvl w:val="0"/>
          <w:numId w:val="18"/>
        </w:numPr>
        <w:spacing w:before="120" w:after="120"/>
        <w:contextualSpacing/>
        <w:jc w:val="both"/>
        <w:rPr>
          <w:rFonts w:ascii="Calibri" w:hAnsi="Calibri" w:cs="Calibri"/>
          <w:lang w:eastAsia="zh-CN"/>
        </w:rPr>
      </w:pPr>
      <w:r>
        <w:rPr>
          <w:rFonts w:ascii="Calibri" w:hAnsi="Calibri" w:cs="Calibri"/>
          <w:lang w:eastAsia="zh-CN"/>
        </w:rPr>
        <w:t>Zaktualizowany Bałtycki Plan Działań HELCOM;</w:t>
      </w:r>
    </w:p>
    <w:p w14:paraId="76F3C81E" w14:textId="77777777" w:rsidR="002917CD" w:rsidRDefault="00250BA7" w:rsidP="00C05C14">
      <w:pPr>
        <w:numPr>
          <w:ilvl w:val="0"/>
          <w:numId w:val="18"/>
        </w:numPr>
        <w:spacing w:before="120" w:after="120"/>
        <w:jc w:val="both"/>
        <w:rPr>
          <w:rFonts w:ascii="Calibri" w:hAnsi="Calibri" w:cs="Calibri"/>
          <w:lang w:eastAsia="zh-CN"/>
        </w:rPr>
      </w:pPr>
      <w:r w:rsidRPr="00E4235B">
        <w:rPr>
          <w:rFonts w:ascii="Calibri" w:hAnsi="Calibri" w:cs="Calibri"/>
          <w:lang w:eastAsia="zh-CN"/>
        </w:rPr>
        <w:t xml:space="preserve">Inne </w:t>
      </w:r>
      <w:bookmarkStart w:id="2" w:name="_Hlk4755396"/>
      <w:r w:rsidRPr="00E4235B">
        <w:rPr>
          <w:rFonts w:ascii="Calibri" w:hAnsi="Calibri" w:cs="Calibri"/>
          <w:lang w:eastAsia="zh-CN"/>
        </w:rPr>
        <w:t>niezbędne materiały, stosownie do realizowanego zamówienia.</w:t>
      </w:r>
      <w:bookmarkEnd w:id="0"/>
      <w:bookmarkEnd w:id="2"/>
    </w:p>
    <w:p w14:paraId="6152CDCE" w14:textId="3DAB7D54" w:rsidR="00D9111F" w:rsidRPr="002917CD" w:rsidRDefault="00D271A8" w:rsidP="002917CD">
      <w:pPr>
        <w:spacing w:before="120" w:after="120"/>
        <w:ind w:left="360"/>
        <w:jc w:val="both"/>
        <w:rPr>
          <w:rFonts w:ascii="Calibri" w:hAnsi="Calibri" w:cs="Calibri"/>
          <w:lang w:eastAsia="zh-CN"/>
        </w:rPr>
      </w:pPr>
      <w:r w:rsidRPr="002917CD">
        <w:rPr>
          <w:rFonts w:cstheme="minorHAnsi"/>
        </w:rPr>
        <w:t>Zamawiający udzieli Wykonawcy wsparcia w pozyskiwaniu danych na potrzeby realizacji pracy od instytucji zewnętrznych. Wszelkie ewentualne koszty zakupu dodatkowych danych pokrywa Wykonawca.</w:t>
      </w:r>
    </w:p>
    <w:sectPr w:rsidR="00D9111F" w:rsidRPr="002917CD" w:rsidSect="00D271A8">
      <w:headerReference w:type="default" r:id="rId8"/>
      <w:footerReference w:type="default" r:id="rId9"/>
      <w:pgSz w:w="11906" w:h="16838"/>
      <w:pgMar w:top="1383" w:right="1383" w:bottom="1383" w:left="1383"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9EC9C" w14:textId="77777777" w:rsidR="007D73D7" w:rsidRDefault="007D73D7" w:rsidP="00AF2738">
      <w:pPr>
        <w:spacing w:after="0" w:line="240" w:lineRule="auto"/>
      </w:pPr>
      <w:r>
        <w:separator/>
      </w:r>
    </w:p>
  </w:endnote>
  <w:endnote w:type="continuationSeparator" w:id="0">
    <w:p w14:paraId="0625FCB8" w14:textId="77777777" w:rsidR="007D73D7" w:rsidRDefault="007D73D7" w:rsidP="00AF2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Bernard MT Condensed">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Batang">
    <w:altName w:val="바탕"/>
    <w:panose1 w:val="02030600000101010101"/>
    <w:charset w:val="81"/>
    <w:family w:val="roman"/>
    <w:pitch w:val="variable"/>
    <w:sig w:usb0="00000001" w:usb1="09060000" w:usb2="00000010" w:usb3="00000000" w:csb0="0008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3307570"/>
      <w:docPartObj>
        <w:docPartGallery w:val="Page Numbers (Bottom of Page)"/>
        <w:docPartUnique/>
      </w:docPartObj>
    </w:sdtPr>
    <w:sdtEndPr>
      <w:rPr>
        <w:rFonts w:cs="Times New Roman"/>
        <w:sz w:val="20"/>
        <w:szCs w:val="20"/>
      </w:rPr>
    </w:sdtEndPr>
    <w:sdtContent>
      <w:p w14:paraId="32245FA9" w14:textId="77777777" w:rsidR="00F8693A" w:rsidRPr="00766BDE" w:rsidRDefault="00F8693A">
        <w:pPr>
          <w:pStyle w:val="Stopka"/>
          <w:jc w:val="center"/>
          <w:rPr>
            <w:rFonts w:cs="Times New Roman"/>
            <w:sz w:val="20"/>
            <w:szCs w:val="20"/>
          </w:rPr>
        </w:pPr>
        <w:r w:rsidRPr="00766BDE">
          <w:rPr>
            <w:rFonts w:cs="Times New Roman"/>
            <w:sz w:val="20"/>
            <w:szCs w:val="20"/>
          </w:rPr>
          <w:fldChar w:fldCharType="begin"/>
        </w:r>
        <w:r w:rsidRPr="00766BDE">
          <w:rPr>
            <w:rFonts w:cs="Times New Roman"/>
            <w:sz w:val="20"/>
            <w:szCs w:val="20"/>
          </w:rPr>
          <w:instrText>PAGE   \* MERGEFORMAT</w:instrText>
        </w:r>
        <w:r w:rsidRPr="00766BDE">
          <w:rPr>
            <w:rFonts w:cs="Times New Roman"/>
            <w:sz w:val="20"/>
            <w:szCs w:val="20"/>
          </w:rPr>
          <w:fldChar w:fldCharType="separate"/>
        </w:r>
        <w:r w:rsidR="00AD3B6C" w:rsidRPr="00766BDE">
          <w:rPr>
            <w:rFonts w:cs="Times New Roman"/>
            <w:noProof/>
            <w:sz w:val="20"/>
            <w:szCs w:val="20"/>
          </w:rPr>
          <w:t>10</w:t>
        </w:r>
        <w:r w:rsidRPr="00766BDE">
          <w:rPr>
            <w:rFonts w:cs="Times New Roman"/>
            <w:sz w:val="20"/>
            <w:szCs w:val="20"/>
          </w:rPr>
          <w:fldChar w:fldCharType="end"/>
        </w:r>
      </w:p>
    </w:sdtContent>
  </w:sdt>
  <w:p w14:paraId="3876B5B4" w14:textId="77777777" w:rsidR="00F8693A" w:rsidRDefault="00F8693A">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A87827" w14:textId="77777777" w:rsidR="007D73D7" w:rsidRDefault="007D73D7" w:rsidP="00AF2738">
      <w:pPr>
        <w:spacing w:after="0" w:line="240" w:lineRule="auto"/>
      </w:pPr>
      <w:r>
        <w:separator/>
      </w:r>
    </w:p>
  </w:footnote>
  <w:footnote w:type="continuationSeparator" w:id="0">
    <w:p w14:paraId="19308B44" w14:textId="77777777" w:rsidR="007D73D7" w:rsidRDefault="007D73D7" w:rsidP="00AF27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3EC81" w14:textId="504A0A80" w:rsidR="009F0E4A" w:rsidRDefault="009F0E4A">
    <w:pPr>
      <w:pStyle w:val="Nagwek"/>
    </w:pPr>
  </w:p>
  <w:p w14:paraId="7639F97E" w14:textId="0BF908EB" w:rsidR="009F0E4A" w:rsidRDefault="009F0E4A">
    <w:pPr>
      <w:pStyle w:val="Nagwek"/>
    </w:pPr>
  </w:p>
  <w:p w14:paraId="1581496F" w14:textId="755D9865" w:rsidR="009F0E4A" w:rsidRDefault="009F0E4A">
    <w:pPr>
      <w:pStyle w:val="Nagwek"/>
    </w:pPr>
  </w:p>
  <w:p w14:paraId="1D45CBB9" w14:textId="77777777" w:rsidR="009F0E4A" w:rsidRPr="009F0E4A" w:rsidRDefault="009F0E4A">
    <w:pPr>
      <w:pStyle w:val="Nagwek"/>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53428"/>
    <w:multiLevelType w:val="hybridMultilevel"/>
    <w:tmpl w:val="4424AA4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D911BCA"/>
    <w:multiLevelType w:val="hybridMultilevel"/>
    <w:tmpl w:val="BFF4746E"/>
    <w:lvl w:ilvl="0" w:tplc="E5F80F34">
      <w:start w:val="1"/>
      <w:numFmt w:val="bullet"/>
      <w:lvlText w:val=""/>
      <w:lvlJc w:val="left"/>
      <w:pPr>
        <w:ind w:left="1080" w:hanging="360"/>
      </w:pPr>
      <w:rPr>
        <w:rFonts w:ascii="Symbol" w:hAnsi="Symbol" w:cs="Bernard MT Condensed" w:hint="default"/>
        <w:b w:val="0"/>
        <w:i w:val="0"/>
        <w:sz w:val="24"/>
      </w:rPr>
    </w:lvl>
    <w:lvl w:ilvl="1" w:tplc="04150017">
      <w:start w:val="1"/>
      <w:numFmt w:val="lowerLetter"/>
      <w:lvlText w:val="%2)"/>
      <w:lvlJc w:val="left"/>
      <w:pPr>
        <w:ind w:left="1800" w:hanging="360"/>
      </w:pPr>
      <w:rPr>
        <w:rFonts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 w15:restartNumberingAfterBreak="0">
    <w:nsid w:val="15E115F4"/>
    <w:multiLevelType w:val="hybridMultilevel"/>
    <w:tmpl w:val="DEF28B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66E3FA4"/>
    <w:multiLevelType w:val="hybridMultilevel"/>
    <w:tmpl w:val="7304CFE2"/>
    <w:lvl w:ilvl="0" w:tplc="5A12F3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0726A"/>
    <w:multiLevelType w:val="hybridMultilevel"/>
    <w:tmpl w:val="9B627242"/>
    <w:lvl w:ilvl="0" w:tplc="C3A2B8E8">
      <w:start w:val="1"/>
      <w:numFmt w:val="decimal"/>
      <w:lvlText w:val="%1."/>
      <w:lvlJc w:val="left"/>
      <w:pPr>
        <w:ind w:left="720" w:hanging="360"/>
      </w:pPr>
      <w:rPr>
        <w:rFonts w:eastAsia="Batang"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A67B97"/>
    <w:multiLevelType w:val="hybridMultilevel"/>
    <w:tmpl w:val="469AE0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5305418"/>
    <w:multiLevelType w:val="hybridMultilevel"/>
    <w:tmpl w:val="AEF0AE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271D24"/>
    <w:multiLevelType w:val="hybridMultilevel"/>
    <w:tmpl w:val="4E8E0A64"/>
    <w:lvl w:ilvl="0" w:tplc="E5F80F34">
      <w:start w:val="1"/>
      <w:numFmt w:val="bullet"/>
      <w:lvlText w:val=""/>
      <w:lvlJc w:val="left"/>
      <w:pPr>
        <w:ind w:left="720" w:hanging="360"/>
      </w:pPr>
      <w:rPr>
        <w:rFonts w:ascii="Symbol" w:hAnsi="Symbol" w:cs="Bernard MT Condensed" w:hint="default"/>
        <w:b w:val="0"/>
        <w:i w:val="0"/>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3EB0E42"/>
    <w:multiLevelType w:val="hybridMultilevel"/>
    <w:tmpl w:val="32D0E04A"/>
    <w:lvl w:ilvl="0" w:tplc="04150017">
      <w:start w:val="1"/>
      <w:numFmt w:val="lowerLetter"/>
      <w:lvlText w:val="%1)"/>
      <w:lvlJc w:val="left"/>
      <w:pPr>
        <w:ind w:left="121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2E5152"/>
    <w:multiLevelType w:val="hybridMultilevel"/>
    <w:tmpl w:val="FD38FB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9D45A1"/>
    <w:multiLevelType w:val="hybridMultilevel"/>
    <w:tmpl w:val="82743A4A"/>
    <w:lvl w:ilvl="0" w:tplc="04150001">
      <w:start w:val="1"/>
      <w:numFmt w:val="bullet"/>
      <w:lvlText w:val=""/>
      <w:lvlJc w:val="left"/>
      <w:pPr>
        <w:ind w:left="2137" w:hanging="360"/>
      </w:pPr>
      <w:rPr>
        <w:rFonts w:ascii="Symbol" w:hAnsi="Symbol" w:hint="default"/>
      </w:rPr>
    </w:lvl>
    <w:lvl w:ilvl="1" w:tplc="04150003" w:tentative="1">
      <w:start w:val="1"/>
      <w:numFmt w:val="bullet"/>
      <w:lvlText w:val="o"/>
      <w:lvlJc w:val="left"/>
      <w:pPr>
        <w:ind w:left="2857" w:hanging="360"/>
      </w:pPr>
      <w:rPr>
        <w:rFonts w:ascii="Courier New" w:hAnsi="Courier New" w:cs="Courier New" w:hint="default"/>
      </w:rPr>
    </w:lvl>
    <w:lvl w:ilvl="2" w:tplc="04150005" w:tentative="1">
      <w:start w:val="1"/>
      <w:numFmt w:val="bullet"/>
      <w:lvlText w:val=""/>
      <w:lvlJc w:val="left"/>
      <w:pPr>
        <w:ind w:left="3577" w:hanging="360"/>
      </w:pPr>
      <w:rPr>
        <w:rFonts w:ascii="Wingdings" w:hAnsi="Wingdings" w:hint="default"/>
      </w:rPr>
    </w:lvl>
    <w:lvl w:ilvl="3" w:tplc="04150001" w:tentative="1">
      <w:start w:val="1"/>
      <w:numFmt w:val="bullet"/>
      <w:lvlText w:val=""/>
      <w:lvlJc w:val="left"/>
      <w:pPr>
        <w:ind w:left="4297" w:hanging="360"/>
      </w:pPr>
      <w:rPr>
        <w:rFonts w:ascii="Symbol" w:hAnsi="Symbol" w:hint="default"/>
      </w:rPr>
    </w:lvl>
    <w:lvl w:ilvl="4" w:tplc="04150003" w:tentative="1">
      <w:start w:val="1"/>
      <w:numFmt w:val="bullet"/>
      <w:lvlText w:val="o"/>
      <w:lvlJc w:val="left"/>
      <w:pPr>
        <w:ind w:left="5017" w:hanging="360"/>
      </w:pPr>
      <w:rPr>
        <w:rFonts w:ascii="Courier New" w:hAnsi="Courier New" w:cs="Courier New" w:hint="default"/>
      </w:rPr>
    </w:lvl>
    <w:lvl w:ilvl="5" w:tplc="04150005" w:tentative="1">
      <w:start w:val="1"/>
      <w:numFmt w:val="bullet"/>
      <w:lvlText w:val=""/>
      <w:lvlJc w:val="left"/>
      <w:pPr>
        <w:ind w:left="5737" w:hanging="360"/>
      </w:pPr>
      <w:rPr>
        <w:rFonts w:ascii="Wingdings" w:hAnsi="Wingdings" w:hint="default"/>
      </w:rPr>
    </w:lvl>
    <w:lvl w:ilvl="6" w:tplc="04150001" w:tentative="1">
      <w:start w:val="1"/>
      <w:numFmt w:val="bullet"/>
      <w:lvlText w:val=""/>
      <w:lvlJc w:val="left"/>
      <w:pPr>
        <w:ind w:left="6457" w:hanging="360"/>
      </w:pPr>
      <w:rPr>
        <w:rFonts w:ascii="Symbol" w:hAnsi="Symbol" w:hint="default"/>
      </w:rPr>
    </w:lvl>
    <w:lvl w:ilvl="7" w:tplc="04150003" w:tentative="1">
      <w:start w:val="1"/>
      <w:numFmt w:val="bullet"/>
      <w:lvlText w:val="o"/>
      <w:lvlJc w:val="left"/>
      <w:pPr>
        <w:ind w:left="7177" w:hanging="360"/>
      </w:pPr>
      <w:rPr>
        <w:rFonts w:ascii="Courier New" w:hAnsi="Courier New" w:cs="Courier New" w:hint="default"/>
      </w:rPr>
    </w:lvl>
    <w:lvl w:ilvl="8" w:tplc="04150005" w:tentative="1">
      <w:start w:val="1"/>
      <w:numFmt w:val="bullet"/>
      <w:lvlText w:val=""/>
      <w:lvlJc w:val="left"/>
      <w:pPr>
        <w:ind w:left="7897" w:hanging="360"/>
      </w:pPr>
      <w:rPr>
        <w:rFonts w:ascii="Wingdings" w:hAnsi="Wingdings" w:hint="default"/>
      </w:rPr>
    </w:lvl>
  </w:abstractNum>
  <w:abstractNum w:abstractNumId="11" w15:restartNumberingAfterBreak="0">
    <w:nsid w:val="37F4385B"/>
    <w:multiLevelType w:val="hybridMultilevel"/>
    <w:tmpl w:val="7B8663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FDA5FB0"/>
    <w:multiLevelType w:val="hybridMultilevel"/>
    <w:tmpl w:val="710E9B3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5BE5F20"/>
    <w:multiLevelType w:val="hybridMultilevel"/>
    <w:tmpl w:val="86606F9C"/>
    <w:lvl w:ilvl="0" w:tplc="04150001">
      <w:start w:val="1"/>
      <w:numFmt w:val="bullet"/>
      <w:lvlText w:val=""/>
      <w:lvlJc w:val="left"/>
      <w:pPr>
        <w:ind w:left="720" w:hanging="360"/>
      </w:pPr>
      <w:rPr>
        <w:rFonts w:ascii="Symbol" w:hAnsi="Symbol" w:hint="default"/>
      </w:rPr>
    </w:lvl>
    <w:lvl w:ilvl="1" w:tplc="5164CFC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913F41"/>
    <w:multiLevelType w:val="hybridMultilevel"/>
    <w:tmpl w:val="9EA48226"/>
    <w:lvl w:ilvl="0" w:tplc="0415000D">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6467C7"/>
    <w:multiLevelType w:val="hybridMultilevel"/>
    <w:tmpl w:val="337EC932"/>
    <w:lvl w:ilvl="0" w:tplc="04150017">
      <w:start w:val="1"/>
      <w:numFmt w:val="lowerLetter"/>
      <w:lvlText w:val="%1)"/>
      <w:lvlJc w:val="left"/>
      <w:pPr>
        <w:ind w:left="1152" w:hanging="360"/>
      </w:pPr>
    </w:lvl>
    <w:lvl w:ilvl="1" w:tplc="04150019">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16" w15:restartNumberingAfterBreak="0">
    <w:nsid w:val="50B43F7E"/>
    <w:multiLevelType w:val="hybridMultilevel"/>
    <w:tmpl w:val="7304CFE2"/>
    <w:lvl w:ilvl="0" w:tplc="5A12F3F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3D96BC9"/>
    <w:multiLevelType w:val="hybridMultilevel"/>
    <w:tmpl w:val="94E20B2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547536E"/>
    <w:multiLevelType w:val="hybridMultilevel"/>
    <w:tmpl w:val="EDEAC926"/>
    <w:lvl w:ilvl="0" w:tplc="9DD8FC78">
      <w:start w:val="1"/>
      <w:numFmt w:val="bullet"/>
      <w:lvlText w:val="-"/>
      <w:lvlJc w:val="left"/>
      <w:pPr>
        <w:ind w:left="1854" w:hanging="360"/>
      </w:pPr>
      <w:rPr>
        <w:rFonts w:ascii="Courier New" w:hAnsi="Courier New"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9" w15:restartNumberingAfterBreak="0">
    <w:nsid w:val="58340FAC"/>
    <w:multiLevelType w:val="hybridMultilevel"/>
    <w:tmpl w:val="D7C8D31E"/>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F1B58A4"/>
    <w:multiLevelType w:val="hybridMultilevel"/>
    <w:tmpl w:val="C9AC5116"/>
    <w:lvl w:ilvl="0" w:tplc="04150017">
      <w:start w:val="1"/>
      <w:numFmt w:val="lowerLetter"/>
      <w:lvlText w:val="%1)"/>
      <w:lvlJc w:val="left"/>
      <w:pPr>
        <w:ind w:left="1152" w:hanging="360"/>
      </w:pPr>
    </w:lvl>
    <w:lvl w:ilvl="1" w:tplc="58D41268">
      <w:start w:val="1"/>
      <w:numFmt w:val="bullet"/>
      <w:lvlText w:val=""/>
      <w:lvlJc w:val="left"/>
      <w:pPr>
        <w:ind w:left="1872" w:hanging="360"/>
      </w:pPr>
      <w:rPr>
        <w:rFonts w:ascii="Symbol" w:hAnsi="Symbol" w:hint="default"/>
      </w:rPr>
    </w:lvl>
    <w:lvl w:ilvl="2" w:tplc="3CBC5F56">
      <w:numFmt w:val="bullet"/>
      <w:lvlText w:val="-"/>
      <w:lvlJc w:val="left"/>
      <w:pPr>
        <w:ind w:left="2772" w:hanging="360"/>
      </w:pPr>
      <w:rPr>
        <w:rFonts w:ascii="Calibri" w:eastAsia="Batang" w:hAnsi="Calibri" w:cs="Times New Roman" w:hint="default"/>
      </w:r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21" w15:restartNumberingAfterBreak="0">
    <w:nsid w:val="70995C1E"/>
    <w:multiLevelType w:val="hybridMultilevel"/>
    <w:tmpl w:val="8540703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7685114C"/>
    <w:multiLevelType w:val="hybridMultilevel"/>
    <w:tmpl w:val="63AE9E72"/>
    <w:lvl w:ilvl="0" w:tplc="4296D950">
      <w:start w:val="1"/>
      <w:numFmt w:val="decimal"/>
      <w:suff w:val="space"/>
      <w:lvlText w:val="%1."/>
      <w:lvlJc w:val="left"/>
      <w:pPr>
        <w:ind w:left="284" w:firstLine="76"/>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7BA69E4"/>
    <w:multiLevelType w:val="hybridMultilevel"/>
    <w:tmpl w:val="2DBA9C00"/>
    <w:lvl w:ilvl="0" w:tplc="E5F80F34">
      <w:start w:val="1"/>
      <w:numFmt w:val="bullet"/>
      <w:lvlText w:val=""/>
      <w:lvlJc w:val="left"/>
      <w:pPr>
        <w:ind w:left="1429" w:hanging="360"/>
      </w:pPr>
      <w:rPr>
        <w:rFonts w:ascii="Symbol" w:hAnsi="Symbol" w:cs="Bernard MT Condensed" w:hint="default"/>
        <w:b w:val="0"/>
        <w:i w:val="0"/>
        <w:sz w:val="24"/>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4" w15:restartNumberingAfterBreak="0">
    <w:nsid w:val="7C760BF0"/>
    <w:multiLevelType w:val="hybridMultilevel"/>
    <w:tmpl w:val="C70492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FD0100F"/>
    <w:multiLevelType w:val="hybridMultilevel"/>
    <w:tmpl w:val="F87895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620235097">
    <w:abstractNumId w:val="24"/>
  </w:num>
  <w:num w:numId="2" w16cid:durableId="1079861689">
    <w:abstractNumId w:val="2"/>
  </w:num>
  <w:num w:numId="3" w16cid:durableId="457842468">
    <w:abstractNumId w:val="7"/>
  </w:num>
  <w:num w:numId="4" w16cid:durableId="248003295">
    <w:abstractNumId w:val="19"/>
  </w:num>
  <w:num w:numId="5" w16cid:durableId="54278278">
    <w:abstractNumId w:val="1"/>
  </w:num>
  <w:num w:numId="6" w16cid:durableId="303050972">
    <w:abstractNumId w:val="21"/>
  </w:num>
  <w:num w:numId="7" w16cid:durableId="259678008">
    <w:abstractNumId w:val="13"/>
  </w:num>
  <w:num w:numId="8" w16cid:durableId="1932228408">
    <w:abstractNumId w:val="14"/>
  </w:num>
  <w:num w:numId="9" w16cid:durableId="66801927">
    <w:abstractNumId w:val="23"/>
  </w:num>
  <w:num w:numId="10" w16cid:durableId="480388692">
    <w:abstractNumId w:val="15"/>
  </w:num>
  <w:num w:numId="11" w16cid:durableId="495728985">
    <w:abstractNumId w:val="20"/>
  </w:num>
  <w:num w:numId="12" w16cid:durableId="1150248627">
    <w:abstractNumId w:val="18"/>
  </w:num>
  <w:num w:numId="13" w16cid:durableId="961308958">
    <w:abstractNumId w:val="5"/>
  </w:num>
  <w:num w:numId="14" w16cid:durableId="2048524458">
    <w:abstractNumId w:val="6"/>
  </w:num>
  <w:num w:numId="15" w16cid:durableId="2109542389">
    <w:abstractNumId w:val="11"/>
  </w:num>
  <w:num w:numId="16" w16cid:durableId="1041326617">
    <w:abstractNumId w:val="12"/>
  </w:num>
  <w:num w:numId="17" w16cid:durableId="1450540232">
    <w:abstractNumId w:val="22"/>
  </w:num>
  <w:num w:numId="18" w16cid:durableId="309943016">
    <w:abstractNumId w:val="9"/>
  </w:num>
  <w:num w:numId="19" w16cid:durableId="416824896">
    <w:abstractNumId w:val="10"/>
  </w:num>
  <w:num w:numId="20" w16cid:durableId="1139108987">
    <w:abstractNumId w:val="8"/>
  </w:num>
  <w:num w:numId="21" w16cid:durableId="177888028">
    <w:abstractNumId w:val="0"/>
  </w:num>
  <w:num w:numId="22" w16cid:durableId="886648266">
    <w:abstractNumId w:val="17"/>
  </w:num>
  <w:num w:numId="23" w16cid:durableId="1767261499">
    <w:abstractNumId w:val="4"/>
  </w:num>
  <w:num w:numId="24" w16cid:durableId="166751687">
    <w:abstractNumId w:val="25"/>
  </w:num>
  <w:num w:numId="25" w16cid:durableId="1435979547">
    <w:abstractNumId w:val="16"/>
  </w:num>
  <w:num w:numId="26" w16cid:durableId="67045297">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C9"/>
    <w:rsid w:val="00012056"/>
    <w:rsid w:val="00013465"/>
    <w:rsid w:val="00022914"/>
    <w:rsid w:val="00031D8C"/>
    <w:rsid w:val="0003643B"/>
    <w:rsid w:val="0004296F"/>
    <w:rsid w:val="00044D59"/>
    <w:rsid w:val="000458CA"/>
    <w:rsid w:val="00047E9B"/>
    <w:rsid w:val="000570B8"/>
    <w:rsid w:val="00061C52"/>
    <w:rsid w:val="00066DF1"/>
    <w:rsid w:val="00067BD1"/>
    <w:rsid w:val="00074115"/>
    <w:rsid w:val="0007441E"/>
    <w:rsid w:val="00077466"/>
    <w:rsid w:val="00083EC9"/>
    <w:rsid w:val="00085C3F"/>
    <w:rsid w:val="00090588"/>
    <w:rsid w:val="000926DC"/>
    <w:rsid w:val="00097691"/>
    <w:rsid w:val="000B35D1"/>
    <w:rsid w:val="000C0BF0"/>
    <w:rsid w:val="000C1588"/>
    <w:rsid w:val="000C3582"/>
    <w:rsid w:val="000C5740"/>
    <w:rsid w:val="000D1EC3"/>
    <w:rsid w:val="000D4F68"/>
    <w:rsid w:val="000D5E1C"/>
    <w:rsid w:val="000E04F5"/>
    <w:rsid w:val="000F490A"/>
    <w:rsid w:val="00102095"/>
    <w:rsid w:val="00104BFD"/>
    <w:rsid w:val="0010658D"/>
    <w:rsid w:val="00113110"/>
    <w:rsid w:val="001158DE"/>
    <w:rsid w:val="00115926"/>
    <w:rsid w:val="00123DEF"/>
    <w:rsid w:val="0012492D"/>
    <w:rsid w:val="001258BE"/>
    <w:rsid w:val="00131479"/>
    <w:rsid w:val="00134001"/>
    <w:rsid w:val="00135156"/>
    <w:rsid w:val="00136F81"/>
    <w:rsid w:val="001465E4"/>
    <w:rsid w:val="00156981"/>
    <w:rsid w:val="001574DF"/>
    <w:rsid w:val="001576BB"/>
    <w:rsid w:val="00162438"/>
    <w:rsid w:val="00163C00"/>
    <w:rsid w:val="001649BD"/>
    <w:rsid w:val="00172E0F"/>
    <w:rsid w:val="00175B42"/>
    <w:rsid w:val="00177AC6"/>
    <w:rsid w:val="00180BD2"/>
    <w:rsid w:val="00187912"/>
    <w:rsid w:val="0019212F"/>
    <w:rsid w:val="0019343C"/>
    <w:rsid w:val="00193B71"/>
    <w:rsid w:val="001A4492"/>
    <w:rsid w:val="001A6671"/>
    <w:rsid w:val="001C737B"/>
    <w:rsid w:val="001E0106"/>
    <w:rsid w:val="001E3FA5"/>
    <w:rsid w:val="001F1FCB"/>
    <w:rsid w:val="001F2322"/>
    <w:rsid w:val="001F6715"/>
    <w:rsid w:val="00201932"/>
    <w:rsid w:val="00204C92"/>
    <w:rsid w:val="00206649"/>
    <w:rsid w:val="00221C46"/>
    <w:rsid w:val="0022568A"/>
    <w:rsid w:val="00225E54"/>
    <w:rsid w:val="002306DA"/>
    <w:rsid w:val="002314E2"/>
    <w:rsid w:val="00233DFF"/>
    <w:rsid w:val="00234991"/>
    <w:rsid w:val="0023499F"/>
    <w:rsid w:val="0023570E"/>
    <w:rsid w:val="002401DF"/>
    <w:rsid w:val="00240DDE"/>
    <w:rsid w:val="0024407C"/>
    <w:rsid w:val="00247545"/>
    <w:rsid w:val="0025011F"/>
    <w:rsid w:val="00250BA7"/>
    <w:rsid w:val="00251802"/>
    <w:rsid w:val="0025329B"/>
    <w:rsid w:val="00253B45"/>
    <w:rsid w:val="002544B4"/>
    <w:rsid w:val="002579B4"/>
    <w:rsid w:val="00266475"/>
    <w:rsid w:val="00275D81"/>
    <w:rsid w:val="00275EAF"/>
    <w:rsid w:val="0028061F"/>
    <w:rsid w:val="00284B36"/>
    <w:rsid w:val="002917CD"/>
    <w:rsid w:val="00296827"/>
    <w:rsid w:val="002A35F5"/>
    <w:rsid w:val="002A4732"/>
    <w:rsid w:val="002B47C1"/>
    <w:rsid w:val="002B5993"/>
    <w:rsid w:val="002C093E"/>
    <w:rsid w:val="002D6AD6"/>
    <w:rsid w:val="002E1BA1"/>
    <w:rsid w:val="002E2625"/>
    <w:rsid w:val="002E5F35"/>
    <w:rsid w:val="002E606B"/>
    <w:rsid w:val="002F2246"/>
    <w:rsid w:val="002F4E41"/>
    <w:rsid w:val="00314F56"/>
    <w:rsid w:val="00324AF6"/>
    <w:rsid w:val="00326006"/>
    <w:rsid w:val="003269C9"/>
    <w:rsid w:val="003278B7"/>
    <w:rsid w:val="00330ACC"/>
    <w:rsid w:val="00340872"/>
    <w:rsid w:val="00347B6D"/>
    <w:rsid w:val="0035066E"/>
    <w:rsid w:val="003538CC"/>
    <w:rsid w:val="0036072E"/>
    <w:rsid w:val="00360C49"/>
    <w:rsid w:val="0036512A"/>
    <w:rsid w:val="00366FFC"/>
    <w:rsid w:val="00371F91"/>
    <w:rsid w:val="00376D8B"/>
    <w:rsid w:val="0038102E"/>
    <w:rsid w:val="00385248"/>
    <w:rsid w:val="00385DB7"/>
    <w:rsid w:val="00394A68"/>
    <w:rsid w:val="003A0BE6"/>
    <w:rsid w:val="003A2ADC"/>
    <w:rsid w:val="003A43EE"/>
    <w:rsid w:val="003B449A"/>
    <w:rsid w:val="003B4BFA"/>
    <w:rsid w:val="003B64FC"/>
    <w:rsid w:val="003D2284"/>
    <w:rsid w:val="003D5734"/>
    <w:rsid w:val="003D64C5"/>
    <w:rsid w:val="003E53EE"/>
    <w:rsid w:val="003E6EA6"/>
    <w:rsid w:val="003F576B"/>
    <w:rsid w:val="00401490"/>
    <w:rsid w:val="004018D3"/>
    <w:rsid w:val="00410CC5"/>
    <w:rsid w:val="00412EB6"/>
    <w:rsid w:val="004146DC"/>
    <w:rsid w:val="00415F03"/>
    <w:rsid w:val="0042445F"/>
    <w:rsid w:val="0043476F"/>
    <w:rsid w:val="00441D7B"/>
    <w:rsid w:val="0045623F"/>
    <w:rsid w:val="00464811"/>
    <w:rsid w:val="0046559D"/>
    <w:rsid w:val="00473A1F"/>
    <w:rsid w:val="00476C3D"/>
    <w:rsid w:val="00477B73"/>
    <w:rsid w:val="00477F26"/>
    <w:rsid w:val="00485CBD"/>
    <w:rsid w:val="004924E2"/>
    <w:rsid w:val="004A72C4"/>
    <w:rsid w:val="004B67C5"/>
    <w:rsid w:val="004C0896"/>
    <w:rsid w:val="004E2646"/>
    <w:rsid w:val="004E2C7A"/>
    <w:rsid w:val="004F055A"/>
    <w:rsid w:val="004F3998"/>
    <w:rsid w:val="004F5334"/>
    <w:rsid w:val="004F780E"/>
    <w:rsid w:val="00501729"/>
    <w:rsid w:val="00501E2D"/>
    <w:rsid w:val="00503343"/>
    <w:rsid w:val="00503F1A"/>
    <w:rsid w:val="00506413"/>
    <w:rsid w:val="0051470E"/>
    <w:rsid w:val="005160EF"/>
    <w:rsid w:val="00521B89"/>
    <w:rsid w:val="00524909"/>
    <w:rsid w:val="00530903"/>
    <w:rsid w:val="00533FC6"/>
    <w:rsid w:val="00536BFD"/>
    <w:rsid w:val="00541F19"/>
    <w:rsid w:val="0054387F"/>
    <w:rsid w:val="005531A0"/>
    <w:rsid w:val="00556FFE"/>
    <w:rsid w:val="0056119E"/>
    <w:rsid w:val="00566CAA"/>
    <w:rsid w:val="005849BE"/>
    <w:rsid w:val="00585E29"/>
    <w:rsid w:val="00591CAA"/>
    <w:rsid w:val="005936C6"/>
    <w:rsid w:val="00594789"/>
    <w:rsid w:val="00594BE7"/>
    <w:rsid w:val="005B4FB2"/>
    <w:rsid w:val="005B7A8A"/>
    <w:rsid w:val="005C22A5"/>
    <w:rsid w:val="005C6533"/>
    <w:rsid w:val="005C725A"/>
    <w:rsid w:val="005C76D1"/>
    <w:rsid w:val="005D193A"/>
    <w:rsid w:val="005D5221"/>
    <w:rsid w:val="005E2EA9"/>
    <w:rsid w:val="005F487F"/>
    <w:rsid w:val="005F6462"/>
    <w:rsid w:val="0060489D"/>
    <w:rsid w:val="00604B37"/>
    <w:rsid w:val="00612791"/>
    <w:rsid w:val="00614AD4"/>
    <w:rsid w:val="00623358"/>
    <w:rsid w:val="00626778"/>
    <w:rsid w:val="00627845"/>
    <w:rsid w:val="006364D1"/>
    <w:rsid w:val="0064050C"/>
    <w:rsid w:val="006416C3"/>
    <w:rsid w:val="006418A1"/>
    <w:rsid w:val="00644E15"/>
    <w:rsid w:val="00646717"/>
    <w:rsid w:val="00647B6F"/>
    <w:rsid w:val="006543EF"/>
    <w:rsid w:val="006567F0"/>
    <w:rsid w:val="006579A0"/>
    <w:rsid w:val="00663CE0"/>
    <w:rsid w:val="006641F8"/>
    <w:rsid w:val="00664D68"/>
    <w:rsid w:val="00670823"/>
    <w:rsid w:val="00673B5B"/>
    <w:rsid w:val="006766DA"/>
    <w:rsid w:val="006776E6"/>
    <w:rsid w:val="00681587"/>
    <w:rsid w:val="00691023"/>
    <w:rsid w:val="00691635"/>
    <w:rsid w:val="00692050"/>
    <w:rsid w:val="006A4F8E"/>
    <w:rsid w:val="006B0BBA"/>
    <w:rsid w:val="006C12B0"/>
    <w:rsid w:val="006C3C82"/>
    <w:rsid w:val="006C58B9"/>
    <w:rsid w:val="006D4644"/>
    <w:rsid w:val="006E7254"/>
    <w:rsid w:val="006F0A4F"/>
    <w:rsid w:val="00703F6C"/>
    <w:rsid w:val="00707FA8"/>
    <w:rsid w:val="00713545"/>
    <w:rsid w:val="0071798C"/>
    <w:rsid w:val="00717CA3"/>
    <w:rsid w:val="00722CE0"/>
    <w:rsid w:val="00730D75"/>
    <w:rsid w:val="007334FC"/>
    <w:rsid w:val="00734F51"/>
    <w:rsid w:val="00737309"/>
    <w:rsid w:val="00737C83"/>
    <w:rsid w:val="0075266C"/>
    <w:rsid w:val="0075519A"/>
    <w:rsid w:val="00755F98"/>
    <w:rsid w:val="00756E7E"/>
    <w:rsid w:val="0075708C"/>
    <w:rsid w:val="00757B20"/>
    <w:rsid w:val="00766BDE"/>
    <w:rsid w:val="00782A57"/>
    <w:rsid w:val="00786B9B"/>
    <w:rsid w:val="00794B1C"/>
    <w:rsid w:val="00794D2B"/>
    <w:rsid w:val="007A21A9"/>
    <w:rsid w:val="007B2B77"/>
    <w:rsid w:val="007B61D5"/>
    <w:rsid w:val="007C05F6"/>
    <w:rsid w:val="007C5F04"/>
    <w:rsid w:val="007C71A5"/>
    <w:rsid w:val="007D73D7"/>
    <w:rsid w:val="007E26C9"/>
    <w:rsid w:val="007E46A9"/>
    <w:rsid w:val="007E6929"/>
    <w:rsid w:val="0081614C"/>
    <w:rsid w:val="00820E62"/>
    <w:rsid w:val="00822107"/>
    <w:rsid w:val="00843A74"/>
    <w:rsid w:val="00851BF3"/>
    <w:rsid w:val="00861A25"/>
    <w:rsid w:val="00866D4B"/>
    <w:rsid w:val="008676E6"/>
    <w:rsid w:val="00870D6D"/>
    <w:rsid w:val="008720C4"/>
    <w:rsid w:val="00881AD1"/>
    <w:rsid w:val="00886E3B"/>
    <w:rsid w:val="008928B1"/>
    <w:rsid w:val="00896289"/>
    <w:rsid w:val="00896DEE"/>
    <w:rsid w:val="008A47A6"/>
    <w:rsid w:val="008B0DA7"/>
    <w:rsid w:val="008B22DE"/>
    <w:rsid w:val="008B3895"/>
    <w:rsid w:val="008D3C5B"/>
    <w:rsid w:val="008E3833"/>
    <w:rsid w:val="008E3D20"/>
    <w:rsid w:val="008F6EDD"/>
    <w:rsid w:val="009048BB"/>
    <w:rsid w:val="009101D5"/>
    <w:rsid w:val="00912C25"/>
    <w:rsid w:val="00921840"/>
    <w:rsid w:val="00921E82"/>
    <w:rsid w:val="00935CD8"/>
    <w:rsid w:val="009409C7"/>
    <w:rsid w:val="00943EEC"/>
    <w:rsid w:val="0094426E"/>
    <w:rsid w:val="009570D0"/>
    <w:rsid w:val="00964FA1"/>
    <w:rsid w:val="00965E97"/>
    <w:rsid w:val="009707C5"/>
    <w:rsid w:val="00970E7E"/>
    <w:rsid w:val="00972B74"/>
    <w:rsid w:val="0098000F"/>
    <w:rsid w:val="00981B9F"/>
    <w:rsid w:val="00984C86"/>
    <w:rsid w:val="009864BF"/>
    <w:rsid w:val="0099499C"/>
    <w:rsid w:val="00996608"/>
    <w:rsid w:val="009A230D"/>
    <w:rsid w:val="009A5336"/>
    <w:rsid w:val="009B0D66"/>
    <w:rsid w:val="009B2EF2"/>
    <w:rsid w:val="009C224A"/>
    <w:rsid w:val="009C3BE7"/>
    <w:rsid w:val="009C5C23"/>
    <w:rsid w:val="009D2420"/>
    <w:rsid w:val="009D4919"/>
    <w:rsid w:val="009D67EE"/>
    <w:rsid w:val="009E676D"/>
    <w:rsid w:val="009F0E4A"/>
    <w:rsid w:val="009F39ED"/>
    <w:rsid w:val="00A03E43"/>
    <w:rsid w:val="00A06A8E"/>
    <w:rsid w:val="00A15EB7"/>
    <w:rsid w:val="00A17256"/>
    <w:rsid w:val="00A17823"/>
    <w:rsid w:val="00A221BA"/>
    <w:rsid w:val="00A24907"/>
    <w:rsid w:val="00A45713"/>
    <w:rsid w:val="00A535DB"/>
    <w:rsid w:val="00A54959"/>
    <w:rsid w:val="00A565D2"/>
    <w:rsid w:val="00A61BAA"/>
    <w:rsid w:val="00A63F26"/>
    <w:rsid w:val="00A7370F"/>
    <w:rsid w:val="00A75D8B"/>
    <w:rsid w:val="00A823B3"/>
    <w:rsid w:val="00A82B67"/>
    <w:rsid w:val="00A8439E"/>
    <w:rsid w:val="00A91ABF"/>
    <w:rsid w:val="00AA3F4E"/>
    <w:rsid w:val="00AA7D4A"/>
    <w:rsid w:val="00AB3D34"/>
    <w:rsid w:val="00AB6790"/>
    <w:rsid w:val="00AC0492"/>
    <w:rsid w:val="00AC0FB7"/>
    <w:rsid w:val="00AC2510"/>
    <w:rsid w:val="00AC2FCE"/>
    <w:rsid w:val="00AD17AF"/>
    <w:rsid w:val="00AD20C1"/>
    <w:rsid w:val="00AD3B6C"/>
    <w:rsid w:val="00AD7F74"/>
    <w:rsid w:val="00AF0CC1"/>
    <w:rsid w:val="00AF2738"/>
    <w:rsid w:val="00B02020"/>
    <w:rsid w:val="00B0598D"/>
    <w:rsid w:val="00B16A5D"/>
    <w:rsid w:val="00B21F47"/>
    <w:rsid w:val="00B25346"/>
    <w:rsid w:val="00B2599C"/>
    <w:rsid w:val="00B2634C"/>
    <w:rsid w:val="00B30A10"/>
    <w:rsid w:val="00B33295"/>
    <w:rsid w:val="00B35341"/>
    <w:rsid w:val="00B36F2A"/>
    <w:rsid w:val="00B40329"/>
    <w:rsid w:val="00B55D27"/>
    <w:rsid w:val="00B56F81"/>
    <w:rsid w:val="00B62CBD"/>
    <w:rsid w:val="00B6348F"/>
    <w:rsid w:val="00B76AAC"/>
    <w:rsid w:val="00B81458"/>
    <w:rsid w:val="00B85E27"/>
    <w:rsid w:val="00B927ED"/>
    <w:rsid w:val="00B9660D"/>
    <w:rsid w:val="00BA2CB8"/>
    <w:rsid w:val="00BB22BC"/>
    <w:rsid w:val="00BB372C"/>
    <w:rsid w:val="00BC5775"/>
    <w:rsid w:val="00BD4C2D"/>
    <w:rsid w:val="00BD6B34"/>
    <w:rsid w:val="00BE0607"/>
    <w:rsid w:val="00BE26F5"/>
    <w:rsid w:val="00BF3C2F"/>
    <w:rsid w:val="00BF5C53"/>
    <w:rsid w:val="00C05C14"/>
    <w:rsid w:val="00C1057F"/>
    <w:rsid w:val="00C140F2"/>
    <w:rsid w:val="00C14C84"/>
    <w:rsid w:val="00C24CE1"/>
    <w:rsid w:val="00C349C2"/>
    <w:rsid w:val="00C47093"/>
    <w:rsid w:val="00C64ADF"/>
    <w:rsid w:val="00C81084"/>
    <w:rsid w:val="00C90D3E"/>
    <w:rsid w:val="00C94703"/>
    <w:rsid w:val="00C97851"/>
    <w:rsid w:val="00CB6D21"/>
    <w:rsid w:val="00CC0C46"/>
    <w:rsid w:val="00CC2D3E"/>
    <w:rsid w:val="00CC699B"/>
    <w:rsid w:val="00CE61B7"/>
    <w:rsid w:val="00CF5B4C"/>
    <w:rsid w:val="00CF5B54"/>
    <w:rsid w:val="00CF6A08"/>
    <w:rsid w:val="00D0018C"/>
    <w:rsid w:val="00D07F0C"/>
    <w:rsid w:val="00D13DAA"/>
    <w:rsid w:val="00D14CD5"/>
    <w:rsid w:val="00D16C19"/>
    <w:rsid w:val="00D2302B"/>
    <w:rsid w:val="00D263A6"/>
    <w:rsid w:val="00D270B9"/>
    <w:rsid w:val="00D271A8"/>
    <w:rsid w:val="00D27D01"/>
    <w:rsid w:val="00D335DA"/>
    <w:rsid w:val="00D355C5"/>
    <w:rsid w:val="00D368CF"/>
    <w:rsid w:val="00D4230B"/>
    <w:rsid w:val="00D57EBB"/>
    <w:rsid w:val="00D63E05"/>
    <w:rsid w:val="00D7501B"/>
    <w:rsid w:val="00D76D01"/>
    <w:rsid w:val="00D807EA"/>
    <w:rsid w:val="00D80AC4"/>
    <w:rsid w:val="00D82F90"/>
    <w:rsid w:val="00D8333C"/>
    <w:rsid w:val="00D84D40"/>
    <w:rsid w:val="00D902B7"/>
    <w:rsid w:val="00D9111F"/>
    <w:rsid w:val="00D9250E"/>
    <w:rsid w:val="00D93FB3"/>
    <w:rsid w:val="00D95CBD"/>
    <w:rsid w:val="00D967FB"/>
    <w:rsid w:val="00DA1EDD"/>
    <w:rsid w:val="00DB329B"/>
    <w:rsid w:val="00DB3A34"/>
    <w:rsid w:val="00DB4EB0"/>
    <w:rsid w:val="00DE100B"/>
    <w:rsid w:val="00DE65B8"/>
    <w:rsid w:val="00DF0183"/>
    <w:rsid w:val="00DF5B19"/>
    <w:rsid w:val="00E01E6A"/>
    <w:rsid w:val="00E050D7"/>
    <w:rsid w:val="00E069EC"/>
    <w:rsid w:val="00E0746D"/>
    <w:rsid w:val="00E10ABA"/>
    <w:rsid w:val="00E20F06"/>
    <w:rsid w:val="00E27754"/>
    <w:rsid w:val="00E339CB"/>
    <w:rsid w:val="00E35C5F"/>
    <w:rsid w:val="00E43C37"/>
    <w:rsid w:val="00E47DFA"/>
    <w:rsid w:val="00E54259"/>
    <w:rsid w:val="00E55F44"/>
    <w:rsid w:val="00E63D32"/>
    <w:rsid w:val="00E65576"/>
    <w:rsid w:val="00E6609E"/>
    <w:rsid w:val="00E66557"/>
    <w:rsid w:val="00E66D3B"/>
    <w:rsid w:val="00E66D41"/>
    <w:rsid w:val="00E7560D"/>
    <w:rsid w:val="00E81F93"/>
    <w:rsid w:val="00E844B6"/>
    <w:rsid w:val="00E87C91"/>
    <w:rsid w:val="00E946F0"/>
    <w:rsid w:val="00E972A3"/>
    <w:rsid w:val="00EA1993"/>
    <w:rsid w:val="00EA469C"/>
    <w:rsid w:val="00EB6B6E"/>
    <w:rsid w:val="00EB7F63"/>
    <w:rsid w:val="00EC7FA4"/>
    <w:rsid w:val="00ED147C"/>
    <w:rsid w:val="00ED3A19"/>
    <w:rsid w:val="00ED7420"/>
    <w:rsid w:val="00EE0C01"/>
    <w:rsid w:val="00EE38D2"/>
    <w:rsid w:val="00EE5D35"/>
    <w:rsid w:val="00EE6D71"/>
    <w:rsid w:val="00EF340E"/>
    <w:rsid w:val="00F041EA"/>
    <w:rsid w:val="00F067DB"/>
    <w:rsid w:val="00F11038"/>
    <w:rsid w:val="00F16454"/>
    <w:rsid w:val="00F16585"/>
    <w:rsid w:val="00F24A38"/>
    <w:rsid w:val="00F27620"/>
    <w:rsid w:val="00F30087"/>
    <w:rsid w:val="00F35818"/>
    <w:rsid w:val="00F43A00"/>
    <w:rsid w:val="00F52F50"/>
    <w:rsid w:val="00F61C51"/>
    <w:rsid w:val="00F62488"/>
    <w:rsid w:val="00F65DB1"/>
    <w:rsid w:val="00F758CD"/>
    <w:rsid w:val="00F8693A"/>
    <w:rsid w:val="00F86DBB"/>
    <w:rsid w:val="00F92C64"/>
    <w:rsid w:val="00F97380"/>
    <w:rsid w:val="00FB299D"/>
    <w:rsid w:val="00FB5833"/>
    <w:rsid w:val="00FC53A5"/>
    <w:rsid w:val="00FC6FE0"/>
    <w:rsid w:val="00FD72A9"/>
    <w:rsid w:val="00FF0093"/>
    <w:rsid w:val="00FF10C8"/>
    <w:rsid w:val="00FF2641"/>
    <w:rsid w:val="00FF268A"/>
    <w:rsid w:val="00FF7D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77894C"/>
  <w15:docId w15:val="{41AF354C-0192-4816-9B48-37FDB4ED5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271A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2490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24907"/>
    <w:rPr>
      <w:rFonts w:ascii="Tahoma" w:hAnsi="Tahoma" w:cs="Tahoma"/>
      <w:sz w:val="16"/>
      <w:szCs w:val="16"/>
    </w:rPr>
  </w:style>
  <w:style w:type="paragraph" w:styleId="Nagwek">
    <w:name w:val="header"/>
    <w:basedOn w:val="Normalny"/>
    <w:link w:val="NagwekZnak"/>
    <w:uiPriority w:val="99"/>
    <w:unhideWhenUsed/>
    <w:rsid w:val="00AF273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738"/>
  </w:style>
  <w:style w:type="paragraph" w:styleId="Stopka">
    <w:name w:val="footer"/>
    <w:basedOn w:val="Normalny"/>
    <w:link w:val="StopkaZnak"/>
    <w:uiPriority w:val="99"/>
    <w:unhideWhenUsed/>
    <w:rsid w:val="00AF273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738"/>
  </w:style>
  <w:style w:type="paragraph" w:styleId="Akapitzlist">
    <w:name w:val="List Paragraph"/>
    <w:aliases w:val="Akapit z listą2,L1,Numerowanie,List Paragraph"/>
    <w:basedOn w:val="Normalny"/>
    <w:link w:val="AkapitzlistZnak"/>
    <w:uiPriority w:val="34"/>
    <w:qFormat/>
    <w:rsid w:val="006418A1"/>
    <w:pPr>
      <w:ind w:left="720"/>
      <w:contextualSpacing/>
    </w:pPr>
  </w:style>
  <w:style w:type="character" w:styleId="Odwoaniedokomentarza">
    <w:name w:val="annotation reference"/>
    <w:uiPriority w:val="99"/>
    <w:rsid w:val="00972B74"/>
    <w:rPr>
      <w:sz w:val="16"/>
      <w:szCs w:val="16"/>
    </w:rPr>
  </w:style>
  <w:style w:type="paragraph" w:styleId="Tekstkomentarza">
    <w:name w:val="annotation text"/>
    <w:basedOn w:val="Normalny"/>
    <w:link w:val="TekstkomentarzaZnak"/>
    <w:rsid w:val="00972B74"/>
    <w:pPr>
      <w:spacing w:after="0" w:line="240" w:lineRule="auto"/>
    </w:pPr>
    <w:rPr>
      <w:rFonts w:ascii="Times New Roman" w:eastAsia="Times New Roman" w:hAnsi="Times New Roman" w:cs="Times New Roman"/>
      <w:sz w:val="20"/>
      <w:szCs w:val="20"/>
      <w:lang w:val="x-none" w:eastAsia="pl-PL"/>
    </w:rPr>
  </w:style>
  <w:style w:type="character" w:customStyle="1" w:styleId="TekstkomentarzaZnak">
    <w:name w:val="Tekst komentarza Znak"/>
    <w:basedOn w:val="Domylnaczcionkaakapitu"/>
    <w:link w:val="Tekstkomentarza"/>
    <w:rsid w:val="00972B74"/>
    <w:rPr>
      <w:rFonts w:ascii="Times New Roman" w:eastAsia="Times New Roman" w:hAnsi="Times New Roman" w:cs="Times New Roman"/>
      <w:sz w:val="20"/>
      <w:szCs w:val="20"/>
      <w:lang w:val="x-none" w:eastAsia="pl-PL"/>
    </w:rPr>
  </w:style>
  <w:style w:type="paragraph" w:styleId="Tekstprzypisukocowego">
    <w:name w:val="endnote text"/>
    <w:basedOn w:val="Normalny"/>
    <w:link w:val="TekstprzypisukocowegoZnak"/>
    <w:uiPriority w:val="99"/>
    <w:semiHidden/>
    <w:unhideWhenUsed/>
    <w:rsid w:val="00115926"/>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15926"/>
    <w:rPr>
      <w:sz w:val="20"/>
      <w:szCs w:val="20"/>
    </w:rPr>
  </w:style>
  <w:style w:type="character" w:styleId="Odwoanieprzypisukocowego">
    <w:name w:val="endnote reference"/>
    <w:basedOn w:val="Domylnaczcionkaakapitu"/>
    <w:uiPriority w:val="99"/>
    <w:semiHidden/>
    <w:unhideWhenUsed/>
    <w:rsid w:val="00115926"/>
    <w:rPr>
      <w:vertAlign w:val="superscript"/>
    </w:rPr>
  </w:style>
  <w:style w:type="paragraph" w:customStyle="1" w:styleId="BodyText22">
    <w:name w:val="Body Text 22"/>
    <w:basedOn w:val="Normalny"/>
    <w:rsid w:val="00B30A10"/>
    <w:pPr>
      <w:widowControl w:val="0"/>
      <w:spacing w:before="120" w:after="120" w:line="240" w:lineRule="auto"/>
      <w:jc w:val="both"/>
    </w:pPr>
    <w:rPr>
      <w:rFonts w:ascii="Times New Roman" w:eastAsia="Times New Roman" w:hAnsi="Times New Roman" w:cs="Times New Roman"/>
      <w:sz w:val="24"/>
      <w:szCs w:val="24"/>
      <w:lang w:eastAsia="pl-PL"/>
    </w:rPr>
  </w:style>
  <w:style w:type="character" w:customStyle="1" w:styleId="StandardZnak">
    <w:name w:val="Standard Znak"/>
    <w:link w:val="Standard"/>
    <w:locked/>
    <w:rsid w:val="0035066E"/>
    <w:rPr>
      <w:rFonts w:ascii="Calibri" w:eastAsia="Calibri" w:hAnsi="Calibri"/>
      <w:lang w:eastAsia="pl-PL"/>
    </w:rPr>
  </w:style>
  <w:style w:type="paragraph" w:customStyle="1" w:styleId="Standard">
    <w:name w:val="Standard"/>
    <w:link w:val="StandardZnak"/>
    <w:rsid w:val="0035066E"/>
    <w:pPr>
      <w:widowControl w:val="0"/>
      <w:spacing w:after="0" w:line="240" w:lineRule="auto"/>
    </w:pPr>
    <w:rPr>
      <w:rFonts w:ascii="Calibri" w:eastAsia="Calibri" w:hAnsi="Calibri"/>
      <w:lang w:eastAsia="pl-PL"/>
    </w:rPr>
  </w:style>
  <w:style w:type="paragraph" w:customStyle="1" w:styleId="Akapitzlist1">
    <w:name w:val="Akapit z listą1"/>
    <w:basedOn w:val="Normalny"/>
    <w:rsid w:val="00067BD1"/>
    <w:pPr>
      <w:widowControl w:val="0"/>
      <w:suppressAutoHyphens/>
      <w:autoSpaceDE w:val="0"/>
      <w:spacing w:after="0" w:line="240" w:lineRule="auto"/>
      <w:ind w:left="708"/>
    </w:pPr>
    <w:rPr>
      <w:rFonts w:ascii="Arial" w:eastAsia="PMingLiU" w:hAnsi="Arial" w:cs="Arial"/>
      <w:sz w:val="20"/>
      <w:szCs w:val="20"/>
      <w:lang w:eastAsia="zh-CN"/>
    </w:rPr>
  </w:style>
  <w:style w:type="paragraph" w:styleId="Tematkomentarza">
    <w:name w:val="annotation subject"/>
    <w:basedOn w:val="Tekstkomentarza"/>
    <w:next w:val="Tekstkomentarza"/>
    <w:link w:val="TematkomentarzaZnak"/>
    <w:uiPriority w:val="99"/>
    <w:semiHidden/>
    <w:unhideWhenUsed/>
    <w:rsid w:val="009048BB"/>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9048BB"/>
    <w:rPr>
      <w:rFonts w:ascii="Times New Roman" w:eastAsia="Times New Roman" w:hAnsi="Times New Roman" w:cs="Times New Roman"/>
      <w:b/>
      <w:bCs/>
      <w:sz w:val="20"/>
      <w:szCs w:val="20"/>
      <w:lang w:val="x-none" w:eastAsia="pl-PL"/>
    </w:rPr>
  </w:style>
  <w:style w:type="character" w:customStyle="1" w:styleId="AkapitzlistZnak">
    <w:name w:val="Akapit z listą Znak"/>
    <w:aliases w:val="Akapit z listą2 Znak,L1 Znak,Numerowanie Znak,List Paragraph Znak"/>
    <w:link w:val="Akapitzlist"/>
    <w:uiPriority w:val="34"/>
    <w:locked/>
    <w:rsid w:val="002518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3936">
      <w:bodyDiv w:val="1"/>
      <w:marLeft w:val="0"/>
      <w:marRight w:val="0"/>
      <w:marTop w:val="0"/>
      <w:marBottom w:val="0"/>
      <w:divBdr>
        <w:top w:val="none" w:sz="0" w:space="0" w:color="auto"/>
        <w:left w:val="none" w:sz="0" w:space="0" w:color="auto"/>
        <w:bottom w:val="none" w:sz="0" w:space="0" w:color="auto"/>
        <w:right w:val="none" w:sz="0" w:space="0" w:color="auto"/>
      </w:divBdr>
    </w:div>
    <w:div w:id="531846160">
      <w:bodyDiv w:val="1"/>
      <w:marLeft w:val="0"/>
      <w:marRight w:val="0"/>
      <w:marTop w:val="0"/>
      <w:marBottom w:val="0"/>
      <w:divBdr>
        <w:top w:val="none" w:sz="0" w:space="0" w:color="auto"/>
        <w:left w:val="none" w:sz="0" w:space="0" w:color="auto"/>
        <w:bottom w:val="none" w:sz="0" w:space="0" w:color="auto"/>
        <w:right w:val="none" w:sz="0" w:space="0" w:color="auto"/>
      </w:divBdr>
    </w:div>
    <w:div w:id="1561474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1BB4F-0093-4C41-815F-336A2B7BB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1389</Words>
  <Characters>8337</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Marzec</dc:creator>
  <cp:lastModifiedBy>Joanna Anczarska (KZGW)</cp:lastModifiedBy>
  <cp:revision>5</cp:revision>
  <cp:lastPrinted>2019-12-17T07:08:00Z</cp:lastPrinted>
  <dcterms:created xsi:type="dcterms:W3CDTF">2023-03-28T07:58:00Z</dcterms:created>
  <dcterms:modified xsi:type="dcterms:W3CDTF">2023-03-28T10:35:00Z</dcterms:modified>
</cp:coreProperties>
</file>